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jp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56B" w:rsidRDefault="004E756B">
      <w:pPr>
        <w:spacing w:after="0" w:line="276" w:lineRule="auto"/>
        <w:jc w:val="center"/>
        <w:rPr>
          <w:b/>
          <w:sz w:val="28"/>
          <w:szCs w:val="28"/>
        </w:rPr>
      </w:pPr>
    </w:p>
    <w:p w:rsidR="004E756B" w:rsidRDefault="00F05F92">
      <w:pPr>
        <w:spacing w:after="0" w:line="480" w:lineRule="auto"/>
        <w:jc w:val="center"/>
        <w:rPr>
          <w:b/>
          <w:sz w:val="28"/>
          <w:szCs w:val="28"/>
        </w:rPr>
      </w:pPr>
      <w:r>
        <w:rPr>
          <w:b/>
          <w:sz w:val="28"/>
          <w:szCs w:val="28"/>
        </w:rPr>
        <w:t xml:space="preserve">Termes de références </w:t>
      </w:r>
    </w:p>
    <w:p w:rsidR="004E756B" w:rsidRDefault="00F05F92">
      <w:pPr>
        <w:spacing w:after="0" w:line="276" w:lineRule="auto"/>
        <w:jc w:val="center"/>
        <w:rPr>
          <w:b/>
          <w:color w:val="002060"/>
          <w:sz w:val="24"/>
          <w:szCs w:val="24"/>
        </w:rPr>
      </w:pPr>
      <w:r>
        <w:rPr>
          <w:b/>
          <w:color w:val="002060"/>
          <w:sz w:val="24"/>
          <w:szCs w:val="24"/>
        </w:rPr>
        <w:t xml:space="preserve">Recrutement d’un Consultant Senior National en Textile pour l’accompagnement du NEOTEX 4.0 dans la mise œuvre de ses activités </w:t>
      </w:r>
    </w:p>
    <w:p w:rsidR="004E756B" w:rsidRDefault="004E756B">
      <w:pPr>
        <w:spacing w:after="0" w:line="276" w:lineRule="auto"/>
        <w:rPr>
          <w:b/>
          <w:color w:val="86BC25"/>
        </w:rPr>
      </w:pPr>
    </w:p>
    <w:p w:rsidR="004E756B" w:rsidRDefault="00F05F92">
      <w:pPr>
        <w:pStyle w:val="Titre1"/>
        <w:numPr>
          <w:ilvl w:val="0"/>
          <w:numId w:val="3"/>
        </w:numPr>
        <w:spacing w:before="0" w:after="0" w:line="276" w:lineRule="auto"/>
        <w:rPr>
          <w:rFonts w:ascii="Calibri" w:eastAsia="Calibri" w:hAnsi="Calibri" w:cs="Calibri"/>
          <w:color w:val="002060"/>
          <w:sz w:val="24"/>
          <w:szCs w:val="24"/>
        </w:rPr>
      </w:pPr>
      <w:bookmarkStart w:id="0" w:name="_heading=h.gjdgxs" w:colFirst="0" w:colLast="0"/>
      <w:bookmarkEnd w:id="0"/>
      <w:r>
        <w:rPr>
          <w:rFonts w:ascii="Calibri" w:eastAsia="Calibri" w:hAnsi="Calibri" w:cs="Calibri"/>
          <w:color w:val="002060"/>
          <w:sz w:val="24"/>
          <w:szCs w:val="24"/>
        </w:rPr>
        <w:t>Contexte générale</w:t>
      </w:r>
    </w:p>
    <w:p w:rsidR="004E756B" w:rsidRDefault="00F05F92">
      <w:pPr>
        <w:spacing w:before="120" w:line="276" w:lineRule="auto"/>
        <w:jc w:val="both"/>
      </w:pPr>
      <w:r>
        <w:t>Le Ministère de l'Industrie, des Mines et de l'Energie (MIME) a lancé, en 2018, l'initiative « vers une Industrie 4.0 » qui vise à mettre la Tunisie sur la voie de la 4ème révolution industrielle. Cette initiative s'insère dans le cadre du projet Digital4J</w:t>
      </w:r>
      <w:r>
        <w:t>obs (Centre Digital en Tunisie) mis en œuvre par le MIME en coopération avec la coopération allemande au développement GIZ (Gesellschaft für Internationale Zusammenarbeit) mandatée par le Ministère Fédéral Allemand de la Coopération Economique et du Dévelo</w:t>
      </w:r>
      <w:r>
        <w:t>ppement (BMZ).</w:t>
      </w:r>
    </w:p>
    <w:p w:rsidR="004E756B" w:rsidRDefault="00F05F92">
      <w:pPr>
        <w:spacing w:line="276" w:lineRule="auto"/>
        <w:jc w:val="both"/>
      </w:pPr>
      <w:r>
        <w:t xml:space="preserve">Dans le cadre de l'implémentation de la première phase de cette initiative (2019 – 2021), deux centres de compétences I4.0 transverses ont été créés dans deux différents sites (Technopoles de Sousse et de Sfax). Ces centres concentrent à la </w:t>
      </w:r>
      <w:r>
        <w:t>fois l'expertise en industrie 4.0 à travers l'accès à des experts du domaine et aux formations, ainsi que l'accès à un éventail de services de soutien et d'accompagnement aux entreprises intéressées par implémenter des solutions en industrie 4.0.</w:t>
      </w:r>
    </w:p>
    <w:p w:rsidR="004E756B" w:rsidRDefault="00F05F92">
      <w:pPr>
        <w:spacing w:line="276" w:lineRule="auto"/>
        <w:jc w:val="both"/>
        <w:rPr>
          <w:b/>
        </w:rPr>
      </w:pPr>
      <w:r>
        <w:t>La deuxiè</w:t>
      </w:r>
      <w:r>
        <w:t xml:space="preserve">me phase de cette initiative (2021-2023) vise à créer plus d'impact auprès des entreprises opérantes sur le secteur </w:t>
      </w:r>
      <w:r>
        <w:rPr>
          <w:b/>
        </w:rPr>
        <w:t>textile &amp; habillement TH et textile technique TT</w:t>
      </w:r>
      <w:r>
        <w:t xml:space="preserve">, et cela, via la création du </w:t>
      </w:r>
      <w:r>
        <w:rPr>
          <w:b/>
          <w:u w:val="single"/>
        </w:rPr>
        <w:t>Neotex 4.0 Center au sein du Technopole de Monastir (NEOTEX Mo</w:t>
      </w:r>
      <w:r>
        <w:rPr>
          <w:b/>
          <w:u w:val="single"/>
        </w:rPr>
        <w:t>nastir Technopark) géré par la Société MFCPOLE</w:t>
      </w:r>
      <w:r>
        <w:rPr>
          <w:b/>
        </w:rPr>
        <w:t xml:space="preserve">. </w:t>
      </w:r>
    </w:p>
    <w:p w:rsidR="004E756B" w:rsidRDefault="00F05F92">
      <w:pPr>
        <w:spacing w:line="276" w:lineRule="auto"/>
        <w:jc w:val="both"/>
      </w:pPr>
      <w:r>
        <w:rPr>
          <w:b/>
        </w:rPr>
        <w:t xml:space="preserve">Neotex 4.0 Center </w:t>
      </w:r>
      <w:r>
        <w:t>a pour principale vision, le renforcement de la création de valeur des entreprises des filières textile et Textile technique à travers l’appui à l’intégration de projets innovants en indust</w:t>
      </w:r>
      <w:r>
        <w:t>rie 4.0 et la coordination avec les différents intervenants de l’écosystème</w:t>
      </w:r>
    </w:p>
    <w:p w:rsidR="004E756B" w:rsidRDefault="00F05F92">
      <w:pPr>
        <w:spacing w:before="144" w:after="144" w:line="276" w:lineRule="auto"/>
        <w:jc w:val="both"/>
      </w:pPr>
      <w:r>
        <w:t>C’est dans ce contexte, que le</w:t>
      </w:r>
      <w:r>
        <w:rPr>
          <w:b/>
        </w:rPr>
        <w:t xml:space="preserve"> </w:t>
      </w:r>
      <w:r>
        <w:rPr>
          <w:b/>
          <w:u w:val="single"/>
        </w:rPr>
        <w:t>Neotex 4.0 Center</w:t>
      </w:r>
      <w:r>
        <w:t xml:space="preserve"> souhaite renforcer son équipe par l’intégration d’un </w:t>
      </w:r>
      <w:r>
        <w:rPr>
          <w:u w:val="single"/>
        </w:rPr>
        <w:t>Consultant Senior National en Textile en vue de le supporter dans la mise en œ</w:t>
      </w:r>
      <w:r>
        <w:rPr>
          <w:u w:val="single"/>
        </w:rPr>
        <w:t>uvre de ses activités.</w:t>
      </w:r>
      <w:r>
        <w:t xml:space="preserve"> </w:t>
      </w:r>
    </w:p>
    <w:p w:rsidR="004E756B" w:rsidRDefault="00F05F92">
      <w:pPr>
        <w:pStyle w:val="Titre1"/>
        <w:numPr>
          <w:ilvl w:val="0"/>
          <w:numId w:val="3"/>
        </w:numPr>
        <w:spacing w:after="0" w:line="276" w:lineRule="auto"/>
        <w:rPr>
          <w:rFonts w:ascii="Calibri" w:eastAsia="Calibri" w:hAnsi="Calibri" w:cs="Calibri"/>
          <w:color w:val="002060"/>
          <w:sz w:val="24"/>
          <w:szCs w:val="24"/>
        </w:rPr>
      </w:pPr>
      <w:r>
        <w:rPr>
          <w:rFonts w:ascii="Calibri" w:eastAsia="Calibri" w:hAnsi="Calibri" w:cs="Calibri"/>
          <w:color w:val="002060"/>
          <w:sz w:val="24"/>
          <w:szCs w:val="24"/>
        </w:rPr>
        <w:t xml:space="preserve">Contenu de la mission  </w:t>
      </w:r>
    </w:p>
    <w:p w:rsidR="004E756B" w:rsidRDefault="00F05F92">
      <w:pPr>
        <w:pBdr>
          <w:top w:val="nil"/>
          <w:left w:val="nil"/>
          <w:bottom w:val="nil"/>
          <w:right w:val="nil"/>
          <w:between w:val="nil"/>
        </w:pBdr>
        <w:spacing w:before="120" w:after="0" w:line="276" w:lineRule="auto"/>
        <w:jc w:val="both"/>
        <w:rPr>
          <w:color w:val="000000"/>
        </w:rPr>
      </w:pPr>
      <w:r>
        <w:rPr>
          <w:color w:val="000000"/>
        </w:rPr>
        <w:t xml:space="preserve">L'objectif principal de cette consultation est d'accompagner les équipes du Neotex 4.0 Center dans : </w:t>
      </w:r>
    </w:p>
    <w:p w:rsidR="004E756B" w:rsidRDefault="00F05F92">
      <w:pPr>
        <w:numPr>
          <w:ilvl w:val="0"/>
          <w:numId w:val="2"/>
        </w:numPr>
        <w:pBdr>
          <w:top w:val="nil"/>
          <w:left w:val="nil"/>
          <w:bottom w:val="nil"/>
          <w:right w:val="nil"/>
          <w:between w:val="nil"/>
        </w:pBdr>
        <w:spacing w:after="0" w:line="276" w:lineRule="auto"/>
        <w:jc w:val="both"/>
        <w:rPr>
          <w:color w:val="000000"/>
        </w:rPr>
      </w:pPr>
      <w:r>
        <w:t>Mobilisation</w:t>
      </w:r>
      <w:r>
        <w:rPr>
          <w:color w:val="000000"/>
        </w:rPr>
        <w:t xml:space="preserve"> d’industriels souhaitant développer des projets innovants liés à l'Industrie 4.0 ;</w:t>
      </w:r>
    </w:p>
    <w:p w:rsidR="004E756B" w:rsidRDefault="00F05F92">
      <w:pPr>
        <w:numPr>
          <w:ilvl w:val="0"/>
          <w:numId w:val="2"/>
        </w:numPr>
        <w:pBdr>
          <w:top w:val="nil"/>
          <w:left w:val="nil"/>
          <w:bottom w:val="nil"/>
          <w:right w:val="nil"/>
          <w:between w:val="nil"/>
        </w:pBdr>
        <w:spacing w:after="0" w:line="276" w:lineRule="auto"/>
        <w:jc w:val="both"/>
        <w:rPr>
          <w:color w:val="000000"/>
        </w:rPr>
      </w:pPr>
      <w:r>
        <w:rPr>
          <w:color w:val="000000"/>
        </w:rPr>
        <w:t>L’adaptation du concept de la digitalisation aux entreprises industrielles opérant sur les secteurs du TH &amp; TT en Tunisie ;</w:t>
      </w:r>
    </w:p>
    <w:p w:rsidR="004E756B" w:rsidRDefault="00F05F92">
      <w:pPr>
        <w:numPr>
          <w:ilvl w:val="0"/>
          <w:numId w:val="2"/>
        </w:numPr>
        <w:pBdr>
          <w:top w:val="nil"/>
          <w:left w:val="nil"/>
          <w:bottom w:val="nil"/>
          <w:right w:val="nil"/>
          <w:between w:val="nil"/>
        </w:pBdr>
        <w:spacing w:after="0" w:line="276" w:lineRule="auto"/>
        <w:jc w:val="both"/>
        <w:rPr>
          <w:color w:val="000000"/>
        </w:rPr>
      </w:pPr>
      <w:r>
        <w:rPr>
          <w:highlight w:val="white"/>
        </w:rPr>
        <w:t>l’accompagnement du centre dans la mobilisation des parties prenantes pertinentes surtout les entreprises, les tech providers lors d</w:t>
      </w:r>
      <w:r>
        <w:rPr>
          <w:highlight w:val="white"/>
        </w:rPr>
        <w:t xml:space="preserve">es événements à organiser par Neotex 4.0 ; </w:t>
      </w:r>
      <w:r>
        <w:rPr>
          <w:color w:val="000000"/>
        </w:rPr>
        <w:t xml:space="preserve"> </w:t>
      </w:r>
    </w:p>
    <w:p w:rsidR="004E756B" w:rsidRDefault="00F05F92">
      <w:pPr>
        <w:numPr>
          <w:ilvl w:val="0"/>
          <w:numId w:val="2"/>
        </w:numPr>
        <w:pBdr>
          <w:top w:val="nil"/>
          <w:left w:val="nil"/>
          <w:bottom w:val="nil"/>
          <w:right w:val="nil"/>
          <w:between w:val="nil"/>
        </w:pBdr>
        <w:spacing w:after="0" w:line="276" w:lineRule="auto"/>
        <w:jc w:val="both"/>
        <w:rPr>
          <w:color w:val="000000"/>
        </w:rPr>
      </w:pPr>
      <w:r>
        <w:rPr>
          <w:color w:val="000000"/>
        </w:rPr>
        <w:t xml:space="preserve">Le soutien dans la montée en compétences des équipes du centre par rapport aux spécificités du process </w:t>
      </w:r>
      <w:r>
        <w:t>TH</w:t>
      </w:r>
      <w:r>
        <w:rPr>
          <w:color w:val="000000"/>
        </w:rPr>
        <w:t> ;</w:t>
      </w:r>
    </w:p>
    <w:p w:rsidR="004E756B" w:rsidRDefault="00F05F92">
      <w:pPr>
        <w:spacing w:line="276" w:lineRule="auto"/>
        <w:rPr>
          <w:sz w:val="20"/>
          <w:szCs w:val="20"/>
        </w:rPr>
      </w:pPr>
      <w:r>
        <w:br w:type="page"/>
      </w:r>
    </w:p>
    <w:p w:rsidR="004E756B" w:rsidRPr="00CB6C99" w:rsidRDefault="00F05F92">
      <w:pPr>
        <w:pStyle w:val="Titre1"/>
        <w:numPr>
          <w:ilvl w:val="0"/>
          <w:numId w:val="3"/>
        </w:numPr>
        <w:spacing w:before="120" w:after="120" w:line="276" w:lineRule="auto"/>
        <w:rPr>
          <w:rFonts w:ascii="Calibri" w:eastAsia="Calibri" w:hAnsi="Calibri" w:cs="Calibri"/>
          <w:color w:val="002060"/>
          <w:sz w:val="24"/>
          <w:szCs w:val="24"/>
          <w:lang w:val="fr-FR"/>
        </w:rPr>
      </w:pPr>
      <w:bookmarkStart w:id="1" w:name="_heading=h.30j0zll" w:colFirst="0" w:colLast="0"/>
      <w:bookmarkEnd w:id="1"/>
      <w:r w:rsidRPr="00CB6C99">
        <w:rPr>
          <w:rFonts w:ascii="Calibri" w:eastAsia="Calibri" w:hAnsi="Calibri" w:cs="Calibri"/>
          <w:color w:val="002060"/>
          <w:sz w:val="24"/>
          <w:szCs w:val="24"/>
          <w:lang w:val="fr-FR"/>
        </w:rPr>
        <w:lastRenderedPageBreak/>
        <w:t xml:space="preserve">Détails des activités et des livrables </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96"/>
        <w:gridCol w:w="2362"/>
        <w:gridCol w:w="992"/>
        <w:gridCol w:w="1412"/>
      </w:tblGrid>
      <w:tr w:rsidR="004E756B">
        <w:tc>
          <w:tcPr>
            <w:tcW w:w="4296" w:type="dxa"/>
            <w:shd w:val="clear" w:color="auto" w:fill="F2F2F2"/>
            <w:vAlign w:val="center"/>
          </w:tcPr>
          <w:p w:rsidR="004E756B" w:rsidRDefault="00F05F92">
            <w:pPr>
              <w:spacing w:after="0" w:line="276" w:lineRule="auto"/>
              <w:jc w:val="center"/>
            </w:pPr>
            <w:r>
              <w:rPr>
                <w:b/>
              </w:rPr>
              <w:t xml:space="preserve">Activités </w:t>
            </w:r>
          </w:p>
        </w:tc>
        <w:tc>
          <w:tcPr>
            <w:tcW w:w="2362" w:type="dxa"/>
            <w:shd w:val="clear" w:color="auto" w:fill="F2F2F2"/>
            <w:vAlign w:val="center"/>
          </w:tcPr>
          <w:p w:rsidR="004E756B" w:rsidRDefault="00F05F92">
            <w:pPr>
              <w:spacing w:after="0" w:line="276" w:lineRule="auto"/>
              <w:jc w:val="center"/>
              <w:rPr>
                <w:b/>
              </w:rPr>
            </w:pPr>
            <w:r>
              <w:rPr>
                <w:b/>
              </w:rPr>
              <w:t>Livrables attendus</w:t>
            </w:r>
          </w:p>
        </w:tc>
        <w:tc>
          <w:tcPr>
            <w:tcW w:w="992" w:type="dxa"/>
            <w:shd w:val="clear" w:color="auto" w:fill="F2F2F2"/>
          </w:tcPr>
          <w:p w:rsidR="004E756B" w:rsidRDefault="00F05F92">
            <w:pPr>
              <w:spacing w:after="0" w:line="276" w:lineRule="auto"/>
              <w:jc w:val="center"/>
            </w:pPr>
            <w:r>
              <w:rPr>
                <w:b/>
              </w:rPr>
              <w:t>Durée estimée (H/J)</w:t>
            </w:r>
          </w:p>
        </w:tc>
        <w:tc>
          <w:tcPr>
            <w:tcW w:w="1412" w:type="dxa"/>
            <w:shd w:val="clear" w:color="auto" w:fill="F2F2F2"/>
            <w:vAlign w:val="center"/>
          </w:tcPr>
          <w:p w:rsidR="004E756B" w:rsidRDefault="00F05F92">
            <w:pPr>
              <w:spacing w:after="0" w:line="276" w:lineRule="auto"/>
              <w:jc w:val="center"/>
            </w:pPr>
            <w:r>
              <w:rPr>
                <w:b/>
              </w:rPr>
              <w:t>Dates de dé</w:t>
            </w:r>
            <w:r>
              <w:rPr>
                <w:b/>
              </w:rPr>
              <w:t>but et de fin estimées</w:t>
            </w:r>
          </w:p>
        </w:tc>
      </w:tr>
      <w:tr w:rsidR="004E756B">
        <w:tc>
          <w:tcPr>
            <w:tcW w:w="4296" w:type="dxa"/>
          </w:tcPr>
          <w:p w:rsidR="004E756B" w:rsidRDefault="00F05F92">
            <w:pPr>
              <w:spacing w:after="0" w:line="276" w:lineRule="auto"/>
              <w:rPr>
                <w:b/>
              </w:rPr>
            </w:pPr>
            <w:r>
              <w:rPr>
                <w:b/>
              </w:rPr>
              <w:t xml:space="preserve">Mobilisation des </w:t>
            </w:r>
            <w:r>
              <w:rPr>
                <w:b/>
              </w:rPr>
              <w:t xml:space="preserve">entreprises susceptibles d’être accompagnées par le Neotex 4.0 Center : </w:t>
            </w:r>
          </w:p>
          <w:p w:rsidR="004E756B" w:rsidRDefault="00F05F92">
            <w:pPr>
              <w:numPr>
                <w:ilvl w:val="0"/>
                <w:numId w:val="1"/>
              </w:numPr>
              <w:pBdr>
                <w:top w:val="nil"/>
                <w:left w:val="nil"/>
                <w:bottom w:val="nil"/>
                <w:right w:val="nil"/>
                <w:between w:val="nil"/>
              </w:pBdr>
              <w:spacing w:after="0" w:line="276" w:lineRule="auto"/>
              <w:ind w:left="450"/>
              <w:rPr>
                <w:color w:val="000000"/>
              </w:rPr>
            </w:pPr>
            <w:r>
              <w:rPr>
                <w:color w:val="000000"/>
              </w:rPr>
              <w:t>Elaboration d’une long</w:t>
            </w:r>
            <w:r>
              <w:t>L</w:t>
            </w:r>
            <w:r>
              <w:rPr>
                <w:color w:val="000000"/>
              </w:rPr>
              <w:t>ist d’entreprises potentiels</w:t>
            </w:r>
          </w:p>
          <w:p w:rsidR="004E756B" w:rsidRDefault="00F05F92">
            <w:pPr>
              <w:numPr>
                <w:ilvl w:val="0"/>
                <w:numId w:val="1"/>
              </w:numPr>
              <w:pBdr>
                <w:top w:val="nil"/>
                <w:left w:val="nil"/>
                <w:bottom w:val="nil"/>
                <w:right w:val="nil"/>
                <w:between w:val="nil"/>
              </w:pBdr>
              <w:spacing w:after="0" w:line="276" w:lineRule="auto"/>
              <w:ind w:left="450"/>
              <w:rPr>
                <w:color w:val="000000"/>
              </w:rPr>
            </w:pPr>
            <w:r>
              <w:rPr>
                <w:color w:val="000000"/>
              </w:rPr>
              <w:t xml:space="preserve">Prise de contact avec les entreprises afin d’identifier / besoins préliminaires leurs intérêts en matière d’accompagnement </w:t>
            </w:r>
          </w:p>
          <w:p w:rsidR="004E756B" w:rsidRDefault="00F05F92">
            <w:pPr>
              <w:numPr>
                <w:ilvl w:val="0"/>
                <w:numId w:val="1"/>
              </w:numPr>
              <w:pBdr>
                <w:top w:val="nil"/>
                <w:left w:val="nil"/>
                <w:bottom w:val="nil"/>
                <w:right w:val="nil"/>
                <w:between w:val="nil"/>
              </w:pBdr>
              <w:spacing w:after="0" w:line="276" w:lineRule="auto"/>
              <w:ind w:left="450"/>
              <w:rPr>
                <w:color w:val="000000"/>
              </w:rPr>
            </w:pPr>
            <w:r>
              <w:t>Mobilisation d’au moins 48</w:t>
            </w:r>
            <w:r>
              <w:rPr>
                <w:color w:val="000000"/>
              </w:rPr>
              <w:t xml:space="preserve"> entreprises (en moyenne 8 entreprises/mois) à approcher </w:t>
            </w:r>
            <w:r>
              <w:t>pour faire des diagnostics rapides</w:t>
            </w:r>
            <w:r>
              <w:rPr>
                <w:color w:val="000000"/>
              </w:rPr>
              <w:t xml:space="preserve"> </w:t>
            </w:r>
          </w:p>
        </w:tc>
        <w:tc>
          <w:tcPr>
            <w:tcW w:w="2362" w:type="dxa"/>
            <w:vAlign w:val="center"/>
          </w:tcPr>
          <w:p w:rsidR="004E756B" w:rsidRDefault="00F05F92">
            <w:pPr>
              <w:numPr>
                <w:ilvl w:val="0"/>
                <w:numId w:val="1"/>
              </w:numPr>
              <w:pBdr>
                <w:top w:val="nil"/>
                <w:left w:val="nil"/>
                <w:bottom w:val="nil"/>
                <w:right w:val="nil"/>
                <w:between w:val="nil"/>
              </w:pBdr>
              <w:spacing w:after="0" w:line="276" w:lineRule="auto"/>
              <w:ind w:left="450"/>
              <w:rPr>
                <w:color w:val="000000"/>
              </w:rPr>
            </w:pPr>
            <w:r>
              <w:rPr>
                <w:color w:val="000000"/>
              </w:rPr>
              <w:t>LongList d’en</w:t>
            </w:r>
            <w:r>
              <w:rPr>
                <w:color w:val="000000"/>
              </w:rPr>
              <w:t xml:space="preserve">treprises </w:t>
            </w:r>
          </w:p>
          <w:p w:rsidR="004E756B" w:rsidRDefault="00F05F92">
            <w:pPr>
              <w:numPr>
                <w:ilvl w:val="0"/>
                <w:numId w:val="1"/>
              </w:numPr>
              <w:pBdr>
                <w:top w:val="nil"/>
                <w:left w:val="nil"/>
                <w:bottom w:val="nil"/>
                <w:right w:val="nil"/>
                <w:between w:val="nil"/>
              </w:pBdr>
              <w:spacing w:after="0" w:line="276" w:lineRule="auto"/>
              <w:ind w:left="450"/>
              <w:rPr>
                <w:color w:val="000000"/>
              </w:rPr>
            </w:pPr>
            <w:r>
              <w:rPr>
                <w:color w:val="000000"/>
              </w:rPr>
              <w:t xml:space="preserve">Liste des entreprises priorisées </w:t>
            </w:r>
          </w:p>
          <w:p w:rsidR="004E756B" w:rsidRDefault="00F05F92">
            <w:pPr>
              <w:spacing w:after="0" w:line="276" w:lineRule="auto"/>
            </w:pPr>
            <w:r>
              <w:t xml:space="preserve">    Planning d’exécution des visites d’entreprises </w:t>
            </w:r>
          </w:p>
          <w:p w:rsidR="004E756B" w:rsidRDefault="00F05F92">
            <w:pPr>
              <w:numPr>
                <w:ilvl w:val="0"/>
                <w:numId w:val="1"/>
              </w:numPr>
              <w:spacing w:after="0" w:line="276" w:lineRule="auto"/>
            </w:pPr>
            <w:r>
              <w:t>48 diagnostics rapides réalisés</w:t>
            </w:r>
          </w:p>
        </w:tc>
        <w:tc>
          <w:tcPr>
            <w:tcW w:w="992" w:type="dxa"/>
            <w:vAlign w:val="center"/>
          </w:tcPr>
          <w:p w:rsidR="004E756B" w:rsidRDefault="00F05F92">
            <w:pPr>
              <w:spacing w:after="0" w:line="276" w:lineRule="auto"/>
              <w:jc w:val="center"/>
            </w:pPr>
            <w:r>
              <w:t>20</w:t>
            </w:r>
            <w:r>
              <w:t xml:space="preserve"> HJ</w:t>
            </w:r>
          </w:p>
        </w:tc>
        <w:tc>
          <w:tcPr>
            <w:tcW w:w="1412" w:type="dxa"/>
            <w:vAlign w:val="center"/>
          </w:tcPr>
          <w:p w:rsidR="004E756B" w:rsidRDefault="00F05F92">
            <w:pPr>
              <w:spacing w:after="0" w:line="276" w:lineRule="auto"/>
              <w:jc w:val="center"/>
            </w:pPr>
            <w:r>
              <w:t xml:space="preserve">De </w:t>
            </w:r>
            <w:r>
              <w:t>Février à juillet 2023</w:t>
            </w:r>
          </w:p>
        </w:tc>
      </w:tr>
      <w:tr w:rsidR="004E756B">
        <w:tc>
          <w:tcPr>
            <w:tcW w:w="4296" w:type="dxa"/>
          </w:tcPr>
          <w:p w:rsidR="004E756B" w:rsidRDefault="00F05F92">
            <w:pPr>
              <w:spacing w:after="0" w:line="276" w:lineRule="auto"/>
              <w:rPr>
                <w:b/>
              </w:rPr>
            </w:pPr>
            <w:r>
              <w:rPr>
                <w:b/>
              </w:rPr>
              <w:t>Accompagnement des entreprises</w:t>
            </w:r>
          </w:p>
          <w:p w:rsidR="004E756B" w:rsidRDefault="004E756B">
            <w:pPr>
              <w:numPr>
                <w:ilvl w:val="0"/>
                <w:numId w:val="1"/>
              </w:numPr>
              <w:pBdr>
                <w:top w:val="nil"/>
                <w:left w:val="nil"/>
                <w:bottom w:val="nil"/>
                <w:right w:val="nil"/>
                <w:between w:val="nil"/>
              </w:pBdr>
              <w:spacing w:after="0" w:line="276" w:lineRule="auto"/>
              <w:ind w:left="450"/>
              <w:rPr>
                <w:color w:val="000000"/>
              </w:rPr>
            </w:pPr>
          </w:p>
          <w:p w:rsidR="004E756B" w:rsidRDefault="00F05F92">
            <w:pPr>
              <w:numPr>
                <w:ilvl w:val="0"/>
                <w:numId w:val="1"/>
              </w:numPr>
              <w:pBdr>
                <w:top w:val="nil"/>
                <w:left w:val="nil"/>
                <w:bottom w:val="nil"/>
                <w:right w:val="nil"/>
                <w:between w:val="nil"/>
              </w:pBdr>
              <w:spacing w:after="0" w:line="276" w:lineRule="auto"/>
              <w:ind w:left="450"/>
            </w:pPr>
            <w:r>
              <w:t>Appui à l’élaboration de 20 diagnostics détaillés à partir des 48 diagnostics rapides déjà réalisés</w:t>
            </w:r>
          </w:p>
        </w:tc>
        <w:tc>
          <w:tcPr>
            <w:tcW w:w="2362" w:type="dxa"/>
            <w:vAlign w:val="center"/>
          </w:tcPr>
          <w:p w:rsidR="004E756B" w:rsidRDefault="00F05F92">
            <w:pPr>
              <w:numPr>
                <w:ilvl w:val="0"/>
                <w:numId w:val="1"/>
              </w:numPr>
              <w:pBdr>
                <w:top w:val="nil"/>
                <w:left w:val="nil"/>
                <w:bottom w:val="nil"/>
                <w:right w:val="nil"/>
                <w:between w:val="nil"/>
              </w:pBdr>
              <w:spacing w:after="0" w:line="276" w:lineRule="auto"/>
              <w:ind w:left="450"/>
              <w:rPr>
                <w:color w:val="000000"/>
              </w:rPr>
            </w:pPr>
            <w:r>
              <w:rPr>
                <w:color w:val="000000"/>
              </w:rPr>
              <w:t xml:space="preserve">Plan d’action </w:t>
            </w:r>
          </w:p>
          <w:p w:rsidR="004E756B" w:rsidRDefault="00F05F92">
            <w:pPr>
              <w:numPr>
                <w:ilvl w:val="0"/>
                <w:numId w:val="1"/>
              </w:numPr>
              <w:spacing w:after="0" w:line="276" w:lineRule="auto"/>
            </w:pPr>
            <w:r>
              <w:t>Rapports de visites</w:t>
            </w:r>
          </w:p>
          <w:p w:rsidR="004E756B" w:rsidRDefault="004E756B">
            <w:pPr>
              <w:numPr>
                <w:ilvl w:val="0"/>
                <w:numId w:val="1"/>
              </w:numPr>
              <w:spacing w:after="0" w:line="276" w:lineRule="auto"/>
            </w:pPr>
          </w:p>
          <w:p w:rsidR="004E756B" w:rsidRDefault="00F05F92">
            <w:pPr>
              <w:numPr>
                <w:ilvl w:val="0"/>
                <w:numId w:val="1"/>
              </w:numPr>
              <w:spacing w:after="0" w:line="276" w:lineRule="auto"/>
            </w:pPr>
            <w:r>
              <w:t>20 diagnostics approfondis réalisés</w:t>
            </w:r>
          </w:p>
          <w:p w:rsidR="004E756B" w:rsidRDefault="004E756B">
            <w:pPr>
              <w:spacing w:after="0" w:line="276" w:lineRule="auto"/>
              <w:ind w:left="90"/>
            </w:pPr>
          </w:p>
        </w:tc>
        <w:tc>
          <w:tcPr>
            <w:tcW w:w="992" w:type="dxa"/>
            <w:vAlign w:val="center"/>
          </w:tcPr>
          <w:p w:rsidR="004E756B" w:rsidRDefault="00F05F92">
            <w:pPr>
              <w:spacing w:after="0" w:line="276" w:lineRule="auto"/>
              <w:jc w:val="center"/>
            </w:pPr>
            <w:r>
              <w:t>15 HJ</w:t>
            </w:r>
          </w:p>
        </w:tc>
        <w:tc>
          <w:tcPr>
            <w:tcW w:w="1412" w:type="dxa"/>
            <w:vAlign w:val="center"/>
          </w:tcPr>
          <w:p w:rsidR="004E756B" w:rsidRDefault="00F05F92">
            <w:pPr>
              <w:spacing w:after="0" w:line="276" w:lineRule="auto"/>
              <w:jc w:val="center"/>
            </w:pPr>
            <w:r>
              <w:t xml:space="preserve">d’avril </w:t>
            </w:r>
            <w:r>
              <w:t xml:space="preserve"> à jui</w:t>
            </w:r>
            <w:r>
              <w:t>llet</w:t>
            </w:r>
            <w:r>
              <w:t xml:space="preserve"> 2023</w:t>
            </w:r>
          </w:p>
        </w:tc>
      </w:tr>
      <w:tr w:rsidR="004E756B">
        <w:tc>
          <w:tcPr>
            <w:tcW w:w="4296" w:type="dxa"/>
            <w:shd w:val="clear" w:color="auto" w:fill="F2F2F2"/>
            <w:vAlign w:val="center"/>
          </w:tcPr>
          <w:p w:rsidR="004E756B" w:rsidRDefault="00F05F92">
            <w:pPr>
              <w:spacing w:after="0" w:line="276" w:lineRule="auto"/>
              <w:ind w:left="360"/>
              <w:rPr>
                <w:b/>
              </w:rPr>
            </w:pPr>
            <w:r>
              <w:rPr>
                <w:b/>
              </w:rPr>
              <w:t>Total</w:t>
            </w:r>
          </w:p>
        </w:tc>
        <w:tc>
          <w:tcPr>
            <w:tcW w:w="2362" w:type="dxa"/>
            <w:shd w:val="clear" w:color="auto" w:fill="F2F2F2"/>
            <w:vAlign w:val="center"/>
          </w:tcPr>
          <w:p w:rsidR="004E756B" w:rsidRDefault="004E756B">
            <w:pPr>
              <w:spacing w:after="0" w:line="276" w:lineRule="auto"/>
              <w:rPr>
                <w:b/>
              </w:rPr>
            </w:pPr>
          </w:p>
        </w:tc>
        <w:tc>
          <w:tcPr>
            <w:tcW w:w="992" w:type="dxa"/>
            <w:shd w:val="clear" w:color="auto" w:fill="F2F2F2"/>
            <w:vAlign w:val="center"/>
          </w:tcPr>
          <w:p w:rsidR="004E756B" w:rsidRDefault="00F05F92">
            <w:pPr>
              <w:spacing w:after="0" w:line="276" w:lineRule="auto"/>
              <w:jc w:val="center"/>
              <w:rPr>
                <w:b/>
              </w:rPr>
            </w:pPr>
            <w:r>
              <w:rPr>
                <w:b/>
              </w:rPr>
              <w:t>35</w:t>
            </w:r>
            <w:r>
              <w:rPr>
                <w:b/>
              </w:rPr>
              <w:t xml:space="preserve"> H/J</w:t>
            </w:r>
          </w:p>
        </w:tc>
        <w:tc>
          <w:tcPr>
            <w:tcW w:w="1412" w:type="dxa"/>
            <w:shd w:val="clear" w:color="auto" w:fill="F2F2F2"/>
            <w:vAlign w:val="center"/>
          </w:tcPr>
          <w:p w:rsidR="004E756B" w:rsidRDefault="004E756B">
            <w:pPr>
              <w:spacing w:after="0" w:line="276" w:lineRule="auto"/>
              <w:jc w:val="center"/>
              <w:rPr>
                <w:b/>
              </w:rPr>
            </w:pPr>
          </w:p>
        </w:tc>
      </w:tr>
    </w:tbl>
    <w:p w:rsidR="004E756B" w:rsidRDefault="004E756B">
      <w:pPr>
        <w:pBdr>
          <w:top w:val="nil"/>
          <w:left w:val="nil"/>
          <w:bottom w:val="nil"/>
          <w:right w:val="nil"/>
          <w:between w:val="nil"/>
        </w:pBdr>
        <w:spacing w:after="0" w:line="276" w:lineRule="auto"/>
        <w:rPr>
          <w:b/>
          <w:i/>
          <w:color w:val="43B02A"/>
        </w:rPr>
      </w:pPr>
    </w:p>
    <w:p w:rsidR="004E756B" w:rsidRDefault="00F05F92">
      <w:pPr>
        <w:spacing w:after="0" w:line="276" w:lineRule="auto"/>
        <w:jc w:val="both"/>
        <w:rPr>
          <w:b/>
          <w:u w:val="single"/>
        </w:rPr>
      </w:pPr>
      <w:r>
        <w:rPr>
          <w:b/>
          <w:u w:val="single"/>
        </w:rPr>
        <w:t>La répartition des hommes jours est estimative. La durée du contrat est de 6 mois.</w:t>
      </w:r>
    </w:p>
    <w:p w:rsidR="004E756B" w:rsidRDefault="00F05F92">
      <w:pPr>
        <w:spacing w:after="0" w:line="276" w:lineRule="auto"/>
      </w:pPr>
      <w:r>
        <w:t>Période d'affectation : 6 mois à partir de la date de signature du contrat. La date de fin de la mission ne doit pas dépasser le 31/07/2023.</w:t>
      </w:r>
    </w:p>
    <w:p w:rsidR="004E756B" w:rsidRDefault="004E756B">
      <w:pPr>
        <w:spacing w:after="0" w:line="276" w:lineRule="auto"/>
        <w:rPr>
          <w:b/>
          <w:u w:val="single"/>
        </w:rPr>
      </w:pPr>
      <w:bookmarkStart w:id="2" w:name="_heading=h.3nq1ggu84wi" w:colFirst="0" w:colLast="0"/>
      <w:bookmarkEnd w:id="2"/>
    </w:p>
    <w:p w:rsidR="004E756B" w:rsidRDefault="00F05F92">
      <w:pPr>
        <w:pStyle w:val="Titre1"/>
        <w:numPr>
          <w:ilvl w:val="0"/>
          <w:numId w:val="3"/>
        </w:numPr>
        <w:spacing w:before="120" w:after="120" w:line="276" w:lineRule="auto"/>
        <w:rPr>
          <w:rFonts w:ascii="Calibri" w:eastAsia="Calibri" w:hAnsi="Calibri" w:cs="Calibri"/>
          <w:color w:val="002060"/>
          <w:sz w:val="24"/>
          <w:szCs w:val="24"/>
        </w:rPr>
      </w:pPr>
      <w:bookmarkStart w:id="3" w:name="_heading=h.3znysh7" w:colFirst="0" w:colLast="0"/>
      <w:bookmarkEnd w:id="3"/>
      <w:r>
        <w:rPr>
          <w:rFonts w:ascii="Calibri" w:eastAsia="Calibri" w:hAnsi="Calibri" w:cs="Calibri"/>
          <w:color w:val="002060"/>
          <w:sz w:val="24"/>
          <w:szCs w:val="24"/>
        </w:rPr>
        <w:t>Qualification du consultant</w:t>
      </w:r>
    </w:p>
    <w:p w:rsidR="004E756B" w:rsidRDefault="00F05F92">
      <w:pPr>
        <w:spacing w:after="0" w:line="276" w:lineRule="auto"/>
      </w:pPr>
      <w:r>
        <w:t xml:space="preserve">Le </w:t>
      </w:r>
      <w:r>
        <w:t xml:space="preserve">consultant doit répondre aux critères suivants : </w:t>
      </w:r>
    </w:p>
    <w:p w:rsidR="004E756B" w:rsidRDefault="00F05F92">
      <w:pPr>
        <w:numPr>
          <w:ilvl w:val="0"/>
          <w:numId w:val="4"/>
        </w:numPr>
        <w:pBdr>
          <w:top w:val="nil"/>
          <w:left w:val="nil"/>
          <w:bottom w:val="nil"/>
          <w:right w:val="nil"/>
          <w:between w:val="nil"/>
        </w:pBdr>
        <w:spacing w:before="120" w:after="0" w:line="276" w:lineRule="auto"/>
        <w:ind w:left="714" w:hanging="357"/>
        <w:rPr>
          <w:color w:val="000000"/>
        </w:rPr>
      </w:pPr>
      <w:r>
        <w:rPr>
          <w:color w:val="000000"/>
        </w:rPr>
        <w:t>Diplôme d’ingénieur en génie industriel, en génie textile ou équivalent </w:t>
      </w:r>
    </w:p>
    <w:p w:rsidR="004E756B" w:rsidRDefault="00F05F92">
      <w:pPr>
        <w:numPr>
          <w:ilvl w:val="0"/>
          <w:numId w:val="4"/>
        </w:numPr>
        <w:pBdr>
          <w:top w:val="nil"/>
          <w:left w:val="nil"/>
          <w:bottom w:val="nil"/>
          <w:right w:val="nil"/>
          <w:between w:val="nil"/>
        </w:pBdr>
        <w:spacing w:after="120" w:line="276" w:lineRule="auto"/>
        <w:ind w:left="714" w:hanging="357"/>
        <w:rPr>
          <w:color w:val="000000"/>
        </w:rPr>
      </w:pPr>
      <w:r>
        <w:rPr>
          <w:color w:val="000000"/>
        </w:rPr>
        <w:t xml:space="preserve">Minimum </w:t>
      </w:r>
      <w:r>
        <w:t>20</w:t>
      </w:r>
      <w:r>
        <w:rPr>
          <w:color w:val="000000"/>
        </w:rPr>
        <w:t xml:space="preserve"> ans d’expérience dans l’accompagnement d’entreprises industrielles opérant sur les secteurs du TH &amp; TT en Tunisie </w:t>
      </w:r>
    </w:p>
    <w:p w:rsidR="004E756B" w:rsidRDefault="00F05F92">
      <w:pPr>
        <w:numPr>
          <w:ilvl w:val="0"/>
          <w:numId w:val="4"/>
        </w:numPr>
        <w:pBdr>
          <w:top w:val="nil"/>
          <w:left w:val="nil"/>
          <w:bottom w:val="nil"/>
          <w:right w:val="nil"/>
          <w:between w:val="nil"/>
        </w:pBdr>
        <w:spacing w:before="120" w:after="120" w:line="276" w:lineRule="auto"/>
        <w:ind w:left="714" w:hanging="357"/>
      </w:pPr>
      <w:r>
        <w:rPr>
          <w:color w:val="000000"/>
        </w:rPr>
        <w:t>Maitrise parfaite des différents processus de fabrication d’un produit textile et les méthodes de travail au sein de l’industrie textile </w:t>
      </w:r>
    </w:p>
    <w:p w:rsidR="004E756B" w:rsidRDefault="00F05F92">
      <w:pPr>
        <w:numPr>
          <w:ilvl w:val="0"/>
          <w:numId w:val="4"/>
        </w:numPr>
        <w:pBdr>
          <w:top w:val="nil"/>
          <w:left w:val="nil"/>
          <w:bottom w:val="nil"/>
          <w:right w:val="nil"/>
          <w:between w:val="nil"/>
        </w:pBdr>
        <w:spacing w:before="120" w:after="120" w:line="276" w:lineRule="auto"/>
        <w:ind w:left="714" w:hanging="357"/>
      </w:pPr>
      <w:r>
        <w:rPr>
          <w:color w:val="000000"/>
        </w:rPr>
        <w:t>Compétences en analyse et évaluation des technologies et processus de production industriel </w:t>
      </w:r>
    </w:p>
    <w:p w:rsidR="004E756B" w:rsidRDefault="00F05F92">
      <w:pPr>
        <w:numPr>
          <w:ilvl w:val="0"/>
          <w:numId w:val="4"/>
        </w:numPr>
        <w:pBdr>
          <w:top w:val="nil"/>
          <w:left w:val="nil"/>
          <w:bottom w:val="nil"/>
          <w:right w:val="nil"/>
          <w:between w:val="nil"/>
        </w:pBdr>
        <w:spacing w:before="120" w:after="120" w:line="276" w:lineRule="auto"/>
        <w:ind w:left="714" w:hanging="357"/>
      </w:pPr>
      <w:r>
        <w:rPr>
          <w:color w:val="000000"/>
        </w:rPr>
        <w:t xml:space="preserve">Excellente communication </w:t>
      </w:r>
      <w:r>
        <w:rPr>
          <w:color w:val="000000"/>
        </w:rPr>
        <w:t xml:space="preserve">orale en français, Anglais apprécié </w:t>
      </w:r>
    </w:p>
    <w:p w:rsidR="004E756B" w:rsidRDefault="00F05F92">
      <w:pPr>
        <w:numPr>
          <w:ilvl w:val="0"/>
          <w:numId w:val="4"/>
        </w:numPr>
        <w:pBdr>
          <w:top w:val="nil"/>
          <w:left w:val="nil"/>
          <w:bottom w:val="nil"/>
          <w:right w:val="nil"/>
          <w:between w:val="nil"/>
        </w:pBdr>
        <w:spacing w:before="120" w:after="120" w:line="276" w:lineRule="auto"/>
        <w:ind w:left="714" w:hanging="357"/>
      </w:pPr>
      <w:r>
        <w:rPr>
          <w:color w:val="000000"/>
        </w:rPr>
        <w:lastRenderedPageBreak/>
        <w:t>Excellente capacité rédactionnelle, maitrise des outils MS Office</w:t>
      </w:r>
    </w:p>
    <w:p w:rsidR="004E756B" w:rsidRDefault="00F05F92">
      <w:pPr>
        <w:spacing w:after="0" w:line="276" w:lineRule="auto"/>
        <w:rPr>
          <w:b/>
          <w:sz w:val="21"/>
          <w:szCs w:val="21"/>
          <w:highlight w:val="white"/>
        </w:rPr>
      </w:pPr>
      <w:r>
        <w:rPr>
          <w:b/>
          <w:sz w:val="21"/>
          <w:szCs w:val="21"/>
          <w:highlight w:val="white"/>
        </w:rPr>
        <w:t>Compétences requises :</w:t>
      </w:r>
    </w:p>
    <w:p w:rsidR="004E756B" w:rsidRDefault="00F05F92">
      <w:pPr>
        <w:numPr>
          <w:ilvl w:val="0"/>
          <w:numId w:val="4"/>
        </w:numPr>
        <w:pBdr>
          <w:top w:val="nil"/>
          <w:left w:val="nil"/>
          <w:bottom w:val="nil"/>
          <w:right w:val="nil"/>
          <w:between w:val="nil"/>
        </w:pBdr>
        <w:spacing w:before="120" w:after="0" w:line="276" w:lineRule="auto"/>
        <w:ind w:left="714" w:hanging="357"/>
        <w:rPr>
          <w:color w:val="000000"/>
        </w:rPr>
      </w:pPr>
      <w:r>
        <w:rPr>
          <w:color w:val="000000"/>
        </w:rPr>
        <w:t xml:space="preserve">Communication interpersonnelle </w:t>
      </w:r>
    </w:p>
    <w:p w:rsidR="004E756B" w:rsidRDefault="00F05F92">
      <w:pPr>
        <w:numPr>
          <w:ilvl w:val="0"/>
          <w:numId w:val="4"/>
        </w:numPr>
        <w:pBdr>
          <w:top w:val="nil"/>
          <w:left w:val="nil"/>
          <w:bottom w:val="nil"/>
          <w:right w:val="nil"/>
          <w:between w:val="nil"/>
        </w:pBdr>
        <w:spacing w:after="0" w:line="276" w:lineRule="auto"/>
        <w:ind w:left="714" w:hanging="357"/>
        <w:rPr>
          <w:color w:val="000000"/>
        </w:rPr>
      </w:pPr>
      <w:r>
        <w:rPr>
          <w:color w:val="000000"/>
        </w:rPr>
        <w:t>Savoir gérer son temps</w:t>
      </w:r>
    </w:p>
    <w:p w:rsidR="004E756B" w:rsidRDefault="00F05F92">
      <w:pPr>
        <w:numPr>
          <w:ilvl w:val="0"/>
          <w:numId w:val="4"/>
        </w:numPr>
        <w:pBdr>
          <w:top w:val="nil"/>
          <w:left w:val="nil"/>
          <w:bottom w:val="nil"/>
          <w:right w:val="nil"/>
          <w:between w:val="nil"/>
        </w:pBdr>
        <w:spacing w:after="0" w:line="276" w:lineRule="auto"/>
        <w:ind w:left="714" w:hanging="357"/>
        <w:rPr>
          <w:color w:val="000000"/>
        </w:rPr>
      </w:pPr>
      <w:r>
        <w:rPr>
          <w:color w:val="000000"/>
        </w:rPr>
        <w:t>Être autonome et indépendant</w:t>
      </w:r>
    </w:p>
    <w:p w:rsidR="004E756B" w:rsidRDefault="00F05F92">
      <w:pPr>
        <w:numPr>
          <w:ilvl w:val="0"/>
          <w:numId w:val="4"/>
        </w:numPr>
        <w:pBdr>
          <w:top w:val="nil"/>
          <w:left w:val="nil"/>
          <w:bottom w:val="nil"/>
          <w:right w:val="nil"/>
          <w:between w:val="nil"/>
        </w:pBdr>
        <w:spacing w:after="0" w:line="276" w:lineRule="auto"/>
        <w:ind w:left="714" w:hanging="357"/>
        <w:rPr>
          <w:color w:val="000000"/>
        </w:rPr>
      </w:pPr>
      <w:r>
        <w:rPr>
          <w:color w:val="000000"/>
        </w:rPr>
        <w:t xml:space="preserve">Être bien organisé et méthodique </w:t>
      </w:r>
    </w:p>
    <w:p w:rsidR="004E756B" w:rsidRDefault="00F05F92">
      <w:pPr>
        <w:numPr>
          <w:ilvl w:val="0"/>
          <w:numId w:val="4"/>
        </w:numPr>
        <w:pBdr>
          <w:top w:val="nil"/>
          <w:left w:val="nil"/>
          <w:bottom w:val="nil"/>
          <w:right w:val="nil"/>
          <w:between w:val="nil"/>
        </w:pBdr>
        <w:spacing w:after="0" w:line="276" w:lineRule="auto"/>
        <w:ind w:left="714" w:hanging="357"/>
        <w:rPr>
          <w:color w:val="000000"/>
        </w:rPr>
      </w:pPr>
      <w:r>
        <w:rPr>
          <w:color w:val="000000"/>
        </w:rPr>
        <w:t>Avoir une forte aptitude à la communication</w:t>
      </w:r>
    </w:p>
    <w:p w:rsidR="004E756B" w:rsidRDefault="00F05F92">
      <w:pPr>
        <w:numPr>
          <w:ilvl w:val="0"/>
          <w:numId w:val="4"/>
        </w:numPr>
        <w:pBdr>
          <w:top w:val="nil"/>
          <w:left w:val="nil"/>
          <w:bottom w:val="nil"/>
          <w:right w:val="nil"/>
          <w:between w:val="nil"/>
        </w:pBdr>
        <w:spacing w:after="0" w:line="276" w:lineRule="auto"/>
        <w:ind w:left="714" w:hanging="357"/>
        <w:rPr>
          <w:color w:val="000000"/>
        </w:rPr>
      </w:pPr>
      <w:r>
        <w:rPr>
          <w:color w:val="000000"/>
        </w:rPr>
        <w:t xml:space="preserve">Savoir négocier </w:t>
      </w:r>
    </w:p>
    <w:p w:rsidR="004E756B" w:rsidRDefault="00F05F92">
      <w:pPr>
        <w:numPr>
          <w:ilvl w:val="0"/>
          <w:numId w:val="4"/>
        </w:numPr>
        <w:pBdr>
          <w:top w:val="nil"/>
          <w:left w:val="nil"/>
          <w:bottom w:val="nil"/>
          <w:right w:val="nil"/>
          <w:between w:val="nil"/>
        </w:pBdr>
        <w:spacing w:after="0" w:line="276" w:lineRule="auto"/>
        <w:ind w:left="714" w:hanging="357"/>
        <w:rPr>
          <w:color w:val="000000"/>
        </w:rPr>
      </w:pPr>
      <w:r>
        <w:rPr>
          <w:color w:val="000000"/>
        </w:rPr>
        <w:t xml:space="preserve">Savoir remonter les alertes </w:t>
      </w:r>
    </w:p>
    <w:p w:rsidR="004E756B" w:rsidRDefault="00F05F92">
      <w:pPr>
        <w:numPr>
          <w:ilvl w:val="0"/>
          <w:numId w:val="4"/>
        </w:numPr>
        <w:pBdr>
          <w:top w:val="nil"/>
          <w:left w:val="nil"/>
          <w:bottom w:val="nil"/>
          <w:right w:val="nil"/>
          <w:between w:val="nil"/>
        </w:pBdr>
        <w:spacing w:after="0" w:line="276" w:lineRule="auto"/>
        <w:ind w:left="714" w:hanging="357"/>
        <w:rPr>
          <w:color w:val="000000"/>
        </w:rPr>
      </w:pPr>
      <w:r>
        <w:rPr>
          <w:color w:val="000000"/>
        </w:rPr>
        <w:t xml:space="preserve">Capacité à organiser et planifier son travail </w:t>
      </w:r>
    </w:p>
    <w:p w:rsidR="004E756B" w:rsidRDefault="00F05F92">
      <w:pPr>
        <w:numPr>
          <w:ilvl w:val="0"/>
          <w:numId w:val="4"/>
        </w:numPr>
        <w:pBdr>
          <w:top w:val="nil"/>
          <w:left w:val="nil"/>
          <w:bottom w:val="nil"/>
          <w:right w:val="nil"/>
          <w:between w:val="nil"/>
        </w:pBdr>
        <w:spacing w:after="0" w:line="276" w:lineRule="auto"/>
        <w:ind w:left="714" w:hanging="357"/>
        <w:rPr>
          <w:color w:val="000000"/>
        </w:rPr>
      </w:pPr>
      <w:r>
        <w:rPr>
          <w:color w:val="000000"/>
        </w:rPr>
        <w:t>Savoir conduire une réunion avec le client</w:t>
      </w:r>
    </w:p>
    <w:p w:rsidR="004E756B" w:rsidRDefault="00F05F92">
      <w:pPr>
        <w:pStyle w:val="Titre1"/>
        <w:numPr>
          <w:ilvl w:val="0"/>
          <w:numId w:val="3"/>
        </w:numPr>
        <w:spacing w:before="360" w:after="120" w:line="276" w:lineRule="auto"/>
        <w:rPr>
          <w:rFonts w:ascii="Calibri" w:eastAsia="Calibri" w:hAnsi="Calibri" w:cs="Calibri"/>
          <w:color w:val="002060"/>
          <w:sz w:val="24"/>
          <w:szCs w:val="24"/>
        </w:rPr>
      </w:pPr>
      <w:r>
        <w:rPr>
          <w:rFonts w:ascii="Calibri" w:eastAsia="Calibri" w:hAnsi="Calibri" w:cs="Calibri"/>
          <w:color w:val="002060"/>
          <w:sz w:val="24"/>
          <w:szCs w:val="24"/>
        </w:rPr>
        <w:t xml:space="preserve">Processus de sélection </w:t>
      </w:r>
    </w:p>
    <w:p w:rsidR="004E756B" w:rsidRDefault="00F05F92">
      <w:pPr>
        <w:rPr>
          <w:sz w:val="23"/>
          <w:szCs w:val="23"/>
        </w:rPr>
      </w:pPr>
      <w:r>
        <w:rPr>
          <w:sz w:val="23"/>
          <w:szCs w:val="23"/>
        </w:rPr>
        <w:t>Le Consultant devra présenter 2 offres séparées : un</w:t>
      </w:r>
      <w:r>
        <w:rPr>
          <w:sz w:val="23"/>
          <w:szCs w:val="23"/>
        </w:rPr>
        <w:t>e offre technique et une offre financière.</w:t>
      </w: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40"/>
      </w:tblGrid>
      <w:tr w:rsidR="004E756B">
        <w:tc>
          <w:tcPr>
            <w:tcW w:w="2122" w:type="dxa"/>
          </w:tcPr>
          <w:p w:rsidR="004E756B" w:rsidRDefault="00F05F92">
            <w:pPr>
              <w:rPr>
                <w:b/>
              </w:rPr>
            </w:pPr>
            <w:r>
              <w:rPr>
                <w:b/>
              </w:rPr>
              <w:t xml:space="preserve">Offre Technique </w:t>
            </w:r>
          </w:p>
        </w:tc>
        <w:tc>
          <w:tcPr>
            <w:tcW w:w="6940" w:type="dxa"/>
          </w:tcPr>
          <w:p w:rsidR="004E756B" w:rsidRDefault="00F05F92">
            <w:pPr>
              <w:numPr>
                <w:ilvl w:val="0"/>
                <w:numId w:val="1"/>
              </w:numPr>
              <w:pBdr>
                <w:top w:val="nil"/>
                <w:left w:val="nil"/>
                <w:bottom w:val="nil"/>
                <w:right w:val="nil"/>
                <w:between w:val="nil"/>
              </w:pBdr>
              <w:spacing w:line="276" w:lineRule="auto"/>
              <w:ind w:left="450"/>
              <w:rPr>
                <w:color w:val="000000"/>
              </w:rPr>
            </w:pPr>
            <w:r>
              <w:rPr>
                <w:color w:val="000000"/>
              </w:rPr>
              <w:t xml:space="preserve">Une présentation du cabinet prestataire (si applicable) </w:t>
            </w:r>
          </w:p>
          <w:p w:rsidR="004E756B" w:rsidRDefault="00F05F92">
            <w:pPr>
              <w:numPr>
                <w:ilvl w:val="0"/>
                <w:numId w:val="1"/>
              </w:numPr>
              <w:pBdr>
                <w:top w:val="nil"/>
                <w:left w:val="nil"/>
                <w:bottom w:val="nil"/>
                <w:right w:val="nil"/>
                <w:between w:val="nil"/>
              </w:pBdr>
              <w:spacing w:line="276" w:lineRule="auto"/>
              <w:ind w:left="450"/>
              <w:rPr>
                <w:color w:val="000000"/>
              </w:rPr>
            </w:pPr>
            <w:r>
              <w:rPr>
                <w:color w:val="000000"/>
              </w:rPr>
              <w:t xml:space="preserve">Copie de Patente / RNE </w:t>
            </w:r>
          </w:p>
          <w:p w:rsidR="004E756B" w:rsidRDefault="00F05F92">
            <w:pPr>
              <w:numPr>
                <w:ilvl w:val="0"/>
                <w:numId w:val="1"/>
              </w:numPr>
              <w:pBdr>
                <w:top w:val="nil"/>
                <w:left w:val="nil"/>
                <w:bottom w:val="nil"/>
                <w:right w:val="nil"/>
                <w:between w:val="nil"/>
              </w:pBdr>
              <w:spacing w:line="276" w:lineRule="auto"/>
              <w:ind w:left="450"/>
              <w:rPr>
                <w:rFonts w:ascii="Arial" w:eastAsia="Arial" w:hAnsi="Arial" w:cs="Arial"/>
                <w:color w:val="000000"/>
              </w:rPr>
            </w:pPr>
            <w:r>
              <w:rPr>
                <w:color w:val="000000"/>
              </w:rPr>
              <w:t>Les références du consultant avec le détail des activités réalisées ; il est préférable de respecter les informations demandées dans le tableau sous mentionné (Annex 1 : Tableau des références du Consultant)</w:t>
            </w:r>
          </w:p>
        </w:tc>
      </w:tr>
      <w:tr w:rsidR="004E756B">
        <w:tc>
          <w:tcPr>
            <w:tcW w:w="2122" w:type="dxa"/>
          </w:tcPr>
          <w:p w:rsidR="004E756B" w:rsidRDefault="00F05F92">
            <w:pPr>
              <w:rPr>
                <w:b/>
              </w:rPr>
            </w:pPr>
            <w:r>
              <w:rPr>
                <w:b/>
              </w:rPr>
              <w:t xml:space="preserve">Offre Financière </w:t>
            </w:r>
          </w:p>
        </w:tc>
        <w:tc>
          <w:tcPr>
            <w:tcW w:w="6940" w:type="dxa"/>
          </w:tcPr>
          <w:p w:rsidR="004E756B" w:rsidRDefault="00F05F92">
            <w:pPr>
              <w:numPr>
                <w:ilvl w:val="0"/>
                <w:numId w:val="1"/>
              </w:numPr>
              <w:pBdr>
                <w:top w:val="nil"/>
                <w:left w:val="nil"/>
                <w:bottom w:val="nil"/>
                <w:right w:val="nil"/>
                <w:between w:val="nil"/>
              </w:pBdr>
              <w:spacing w:line="276" w:lineRule="auto"/>
              <w:ind w:left="450"/>
              <w:rPr>
                <w:rFonts w:ascii="Arial" w:eastAsia="Arial" w:hAnsi="Arial" w:cs="Arial"/>
                <w:color w:val="000000"/>
              </w:rPr>
            </w:pPr>
            <w:r>
              <w:rPr>
                <w:color w:val="000000"/>
              </w:rPr>
              <w:t>Le montant de l’offre avec un</w:t>
            </w:r>
            <w:r>
              <w:rPr>
                <w:color w:val="000000"/>
              </w:rPr>
              <w:t>e ventilation des coûts par activité. Les prix devront être mentionnés en chiffres et en toutes lettres. En cas de différence entre les deux, c’est le montant en toutes lettres qui sera pris en compte. Les prix sont entendus en HT fermes et non révisables.</w:t>
            </w:r>
          </w:p>
          <w:p w:rsidR="004E756B" w:rsidRDefault="00F05F92">
            <w:pPr>
              <w:numPr>
                <w:ilvl w:val="0"/>
                <w:numId w:val="1"/>
              </w:numPr>
              <w:pBdr>
                <w:top w:val="nil"/>
                <w:left w:val="nil"/>
                <w:bottom w:val="nil"/>
                <w:right w:val="nil"/>
                <w:between w:val="nil"/>
              </w:pBdr>
              <w:spacing w:line="276" w:lineRule="auto"/>
              <w:ind w:left="450"/>
              <w:rPr>
                <w:rFonts w:ascii="Arial" w:eastAsia="Arial" w:hAnsi="Arial" w:cs="Arial"/>
                <w:color w:val="000000"/>
              </w:rPr>
            </w:pPr>
            <w:r>
              <w:rPr>
                <w:color w:val="000000"/>
              </w:rPr>
              <w:t xml:space="preserve">Les frais logistiques inhérents aux différentes activités pouvant être prévues doivent être discutés et validés en amont avec les équipes du Centre et seront remboursés sous présentation de justificatifs </w:t>
            </w:r>
          </w:p>
          <w:p w:rsidR="004E756B" w:rsidRDefault="00F05F92">
            <w:pPr>
              <w:numPr>
                <w:ilvl w:val="0"/>
                <w:numId w:val="1"/>
              </w:numPr>
              <w:pBdr>
                <w:top w:val="nil"/>
                <w:left w:val="nil"/>
                <w:bottom w:val="nil"/>
                <w:right w:val="nil"/>
                <w:between w:val="nil"/>
              </w:pBdr>
              <w:spacing w:line="276" w:lineRule="auto"/>
              <w:ind w:left="450"/>
              <w:rPr>
                <w:rFonts w:ascii="Arial" w:eastAsia="Arial" w:hAnsi="Arial" w:cs="Arial"/>
                <w:color w:val="000000"/>
              </w:rPr>
            </w:pPr>
            <w:r>
              <w:rPr>
                <w:color w:val="000000"/>
              </w:rPr>
              <w:t>L’offre financière devra être présentées sous le f</w:t>
            </w:r>
            <w:r>
              <w:rPr>
                <w:color w:val="000000"/>
              </w:rPr>
              <w:t>ormat du tableau en annexe 2 : tableau de l’offre financière</w:t>
            </w:r>
            <w:r>
              <w:rPr>
                <w:rFonts w:ascii="Arial" w:eastAsia="Arial" w:hAnsi="Arial" w:cs="Arial"/>
                <w:color w:val="000000"/>
              </w:rPr>
              <w:t xml:space="preserve"> </w:t>
            </w:r>
          </w:p>
        </w:tc>
      </w:tr>
    </w:tbl>
    <w:p w:rsidR="004E756B" w:rsidRDefault="004E756B"/>
    <w:p w:rsidR="004E756B" w:rsidRDefault="00F05F92">
      <w:r>
        <w:t xml:space="preserve">Les propositions seront évaluées comme suit : </w:t>
      </w:r>
    </w:p>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49"/>
        <w:gridCol w:w="3113"/>
      </w:tblGrid>
      <w:tr w:rsidR="004E756B">
        <w:trPr>
          <w:trHeight w:val="509"/>
        </w:trPr>
        <w:tc>
          <w:tcPr>
            <w:tcW w:w="5949" w:type="dxa"/>
            <w:shd w:val="clear" w:color="auto" w:fill="F2F2F2"/>
            <w:vAlign w:val="center"/>
          </w:tcPr>
          <w:p w:rsidR="004E756B" w:rsidRDefault="00F05F92">
            <w:r>
              <w:rPr>
                <w:b/>
              </w:rPr>
              <w:t>Critère</w:t>
            </w:r>
            <w:r>
              <w:t xml:space="preserve"> </w:t>
            </w:r>
          </w:p>
        </w:tc>
        <w:tc>
          <w:tcPr>
            <w:tcW w:w="3113" w:type="dxa"/>
            <w:shd w:val="clear" w:color="auto" w:fill="F2F2F2"/>
            <w:vAlign w:val="center"/>
          </w:tcPr>
          <w:p w:rsidR="004E756B" w:rsidRDefault="00F05F92">
            <w:pPr>
              <w:rPr>
                <w:b/>
              </w:rPr>
            </w:pPr>
            <w:r>
              <w:rPr>
                <w:b/>
              </w:rPr>
              <w:t xml:space="preserve">Pondération </w:t>
            </w:r>
          </w:p>
        </w:tc>
      </w:tr>
      <w:tr w:rsidR="004E756B">
        <w:trPr>
          <w:trHeight w:val="1505"/>
        </w:trPr>
        <w:tc>
          <w:tcPr>
            <w:tcW w:w="5949" w:type="dxa"/>
          </w:tcPr>
          <w:p w:rsidR="004E756B" w:rsidRDefault="00F05F92">
            <w:r>
              <w:t>Références pertinentes dans les domaines indiqués en lien avec l’objet de la mission (conseil et accompagnement entreprises du secteur TH&amp;TT, maitrise des outils industriels du secteur, connaissance en Industrie 4.0 appréciée, expérience dans le coaching e</w:t>
            </w:r>
            <w:r>
              <w:t xml:space="preserve">t la formation dans les domaines mentionnés) </w:t>
            </w:r>
          </w:p>
        </w:tc>
        <w:tc>
          <w:tcPr>
            <w:tcW w:w="3113" w:type="dxa"/>
          </w:tcPr>
          <w:p w:rsidR="004E756B" w:rsidRDefault="00F05F92">
            <w:pPr>
              <w:rPr>
                <w:b/>
              </w:rPr>
            </w:pPr>
            <w:r>
              <w:rPr>
                <w:b/>
              </w:rPr>
              <w:t xml:space="preserve">70% de la note globale </w:t>
            </w:r>
          </w:p>
        </w:tc>
      </w:tr>
      <w:tr w:rsidR="004E756B">
        <w:trPr>
          <w:trHeight w:val="562"/>
        </w:trPr>
        <w:tc>
          <w:tcPr>
            <w:tcW w:w="5949" w:type="dxa"/>
            <w:vAlign w:val="center"/>
          </w:tcPr>
          <w:p w:rsidR="004E756B" w:rsidRDefault="00F05F92">
            <w:r>
              <w:lastRenderedPageBreak/>
              <w:t xml:space="preserve">Offre financière </w:t>
            </w:r>
          </w:p>
        </w:tc>
        <w:tc>
          <w:tcPr>
            <w:tcW w:w="3113" w:type="dxa"/>
            <w:vAlign w:val="center"/>
          </w:tcPr>
          <w:p w:rsidR="004E756B" w:rsidRDefault="00F05F92">
            <w:pPr>
              <w:rPr>
                <w:b/>
              </w:rPr>
            </w:pPr>
            <w:r>
              <w:rPr>
                <w:b/>
              </w:rPr>
              <w:t xml:space="preserve">30% de la note globale </w:t>
            </w:r>
          </w:p>
        </w:tc>
      </w:tr>
    </w:tbl>
    <w:p w:rsidR="004E756B" w:rsidRDefault="00F05F92">
      <w:pPr>
        <w:pStyle w:val="Titre1"/>
        <w:numPr>
          <w:ilvl w:val="0"/>
          <w:numId w:val="3"/>
        </w:numPr>
        <w:spacing w:before="360" w:after="120" w:line="276" w:lineRule="auto"/>
        <w:rPr>
          <w:color w:val="002060"/>
          <w:sz w:val="24"/>
          <w:szCs w:val="24"/>
        </w:rPr>
      </w:pPr>
      <w:r>
        <w:rPr>
          <w:rFonts w:ascii="Calibri" w:eastAsia="Calibri" w:hAnsi="Calibri" w:cs="Calibri"/>
          <w:color w:val="002060"/>
          <w:sz w:val="24"/>
          <w:szCs w:val="24"/>
        </w:rPr>
        <w:t xml:space="preserve">Confidentialité </w:t>
      </w:r>
    </w:p>
    <w:p w:rsidR="004E756B" w:rsidRDefault="00F05F92">
      <w:pPr>
        <w:spacing w:after="0" w:line="276" w:lineRule="auto"/>
      </w:pPr>
      <w:r>
        <w:t>Garantir la confidentialité et le respect du secret professionnel conformément à la législation en vigueur en s’abstenant de divulguer ou d’utiliser à d’autres fins les informations dont le consultant aura à prendre connaissance à l’occasion de l’exécution</w:t>
      </w:r>
      <w:r>
        <w:t xml:space="preserve"> de cette mission. Il est à préciser que le consultant doit s’identifier auprès des cibles de la présente prestation en tant que consultant MFCPOLE/ NEOTEX 4.0 Center. Toutes les informations et les résultats atteints seront la propriété exclusive de MFCPO</w:t>
      </w:r>
      <w:r>
        <w:t>LE tout en respectant les règles de non divulgation et de confidentialité.</w:t>
      </w:r>
    </w:p>
    <w:p w:rsidR="004E756B" w:rsidRDefault="00F05F92">
      <w:pPr>
        <w:pStyle w:val="Titre1"/>
        <w:numPr>
          <w:ilvl w:val="0"/>
          <w:numId w:val="3"/>
        </w:numPr>
        <w:spacing w:before="360" w:after="120" w:line="276" w:lineRule="auto"/>
        <w:rPr>
          <w:rFonts w:eastAsia="Arial" w:cs="Arial"/>
          <w:color w:val="002060"/>
          <w:sz w:val="24"/>
          <w:szCs w:val="24"/>
        </w:rPr>
      </w:pPr>
      <w:bookmarkStart w:id="4" w:name="_heading=h.m033c8qy7pk8" w:colFirst="0" w:colLast="0"/>
      <w:bookmarkEnd w:id="4"/>
      <w:r>
        <w:rPr>
          <w:rFonts w:ascii="Calibri" w:eastAsia="Calibri" w:hAnsi="Calibri" w:cs="Calibri"/>
          <w:color w:val="002060"/>
          <w:sz w:val="24"/>
          <w:szCs w:val="24"/>
        </w:rPr>
        <w:t>Déroulement</w:t>
      </w:r>
    </w:p>
    <w:p w:rsidR="004E756B" w:rsidRDefault="00F05F92">
      <w:pPr>
        <w:spacing w:after="0" w:line="276" w:lineRule="auto"/>
      </w:pPr>
      <w:r>
        <w:t xml:space="preserve">Le consultant objet des présents TdR et qui sera retenu doit collaborer avec l’équipe du NEOTEX 4.0 Center y compris les autres consultants. </w:t>
      </w:r>
    </w:p>
    <w:p w:rsidR="004E756B" w:rsidRDefault="00F05F92">
      <w:pPr>
        <w:pStyle w:val="Titre1"/>
        <w:numPr>
          <w:ilvl w:val="0"/>
          <w:numId w:val="3"/>
        </w:numPr>
        <w:spacing w:before="360" w:after="120" w:line="276" w:lineRule="auto"/>
        <w:rPr>
          <w:color w:val="002060"/>
          <w:sz w:val="24"/>
          <w:szCs w:val="24"/>
        </w:rPr>
      </w:pPr>
      <w:bookmarkStart w:id="5" w:name="_heading=h.ysqc8noeareo" w:colFirst="0" w:colLast="0"/>
      <w:bookmarkEnd w:id="5"/>
      <w:r>
        <w:rPr>
          <w:rFonts w:ascii="Calibri" w:eastAsia="Calibri" w:hAnsi="Calibri" w:cs="Calibri"/>
          <w:color w:val="002060"/>
          <w:sz w:val="24"/>
          <w:szCs w:val="24"/>
        </w:rPr>
        <w:t xml:space="preserve">Annexe </w:t>
      </w:r>
    </w:p>
    <w:p w:rsidR="004E756B" w:rsidRDefault="00F05F92">
      <w:pPr>
        <w:spacing w:after="0" w:line="276" w:lineRule="auto"/>
        <w:rPr>
          <w:b/>
        </w:rPr>
      </w:pPr>
      <w:r>
        <w:rPr>
          <w:b/>
        </w:rPr>
        <w:t>Annexe 1 :  Tableau</w:t>
      </w:r>
      <w:r>
        <w:rPr>
          <w:b/>
        </w:rPr>
        <w:t xml:space="preserve"> des références du Consultant</w:t>
      </w:r>
    </w:p>
    <w:p w:rsidR="004E756B" w:rsidRDefault="00F05F92">
      <w:pPr>
        <w:spacing w:after="0" w:line="276" w:lineRule="auto"/>
      </w:pPr>
      <w:r>
        <w:t>Pour les références du soumissionnaire, il est préférable de communiquer de façon exhaustive et complète les informations suivantes sous la forme du tableau ci-dessous :</w:t>
      </w:r>
    </w:p>
    <w:p w:rsidR="004E756B" w:rsidRDefault="004E756B">
      <w:pPr>
        <w:spacing w:after="0" w:line="276" w:lineRule="auto"/>
      </w:pPr>
    </w:p>
    <w:tbl>
      <w:tblPr>
        <w:tblStyle w:val="a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20"/>
        <w:gridCol w:w="3021"/>
        <w:gridCol w:w="3021"/>
      </w:tblGrid>
      <w:tr w:rsidR="004E756B">
        <w:tc>
          <w:tcPr>
            <w:tcW w:w="3020" w:type="dxa"/>
            <w:shd w:val="clear" w:color="auto" w:fill="F2F2F2"/>
          </w:tcPr>
          <w:p w:rsidR="004E756B" w:rsidRDefault="00F05F92">
            <w:pPr>
              <w:spacing w:line="276" w:lineRule="auto"/>
              <w:rPr>
                <w:b/>
              </w:rPr>
            </w:pPr>
            <w:r>
              <w:rPr>
                <w:b/>
              </w:rPr>
              <w:t xml:space="preserve">Nom du bénéficiaire / Entreprise </w:t>
            </w:r>
          </w:p>
        </w:tc>
        <w:tc>
          <w:tcPr>
            <w:tcW w:w="3021" w:type="dxa"/>
            <w:shd w:val="clear" w:color="auto" w:fill="F2F2F2"/>
          </w:tcPr>
          <w:p w:rsidR="004E756B" w:rsidRDefault="00F05F92">
            <w:pPr>
              <w:spacing w:line="276" w:lineRule="auto"/>
              <w:rPr>
                <w:b/>
              </w:rPr>
            </w:pPr>
            <w:r>
              <w:rPr>
                <w:b/>
              </w:rPr>
              <w:t xml:space="preserve">Durée de la mission / projet </w:t>
            </w:r>
          </w:p>
        </w:tc>
        <w:tc>
          <w:tcPr>
            <w:tcW w:w="3021" w:type="dxa"/>
            <w:shd w:val="clear" w:color="auto" w:fill="F2F2F2"/>
          </w:tcPr>
          <w:p w:rsidR="004E756B" w:rsidRDefault="00F05F92">
            <w:pPr>
              <w:spacing w:line="276" w:lineRule="auto"/>
              <w:rPr>
                <w:b/>
              </w:rPr>
            </w:pPr>
            <w:r>
              <w:rPr>
                <w:b/>
              </w:rPr>
              <w:t xml:space="preserve">Activités réalisées </w:t>
            </w:r>
          </w:p>
        </w:tc>
      </w:tr>
      <w:tr w:rsidR="004E756B">
        <w:tc>
          <w:tcPr>
            <w:tcW w:w="3020" w:type="dxa"/>
          </w:tcPr>
          <w:p w:rsidR="004E756B" w:rsidRDefault="004E756B">
            <w:pPr>
              <w:spacing w:line="276" w:lineRule="auto"/>
            </w:pPr>
          </w:p>
        </w:tc>
        <w:tc>
          <w:tcPr>
            <w:tcW w:w="3021" w:type="dxa"/>
          </w:tcPr>
          <w:p w:rsidR="004E756B" w:rsidRDefault="004E756B">
            <w:pPr>
              <w:spacing w:line="276" w:lineRule="auto"/>
            </w:pPr>
          </w:p>
        </w:tc>
        <w:tc>
          <w:tcPr>
            <w:tcW w:w="3021" w:type="dxa"/>
          </w:tcPr>
          <w:p w:rsidR="004E756B" w:rsidRDefault="004E756B">
            <w:pPr>
              <w:spacing w:line="276" w:lineRule="auto"/>
            </w:pPr>
          </w:p>
        </w:tc>
      </w:tr>
      <w:tr w:rsidR="004E756B">
        <w:tc>
          <w:tcPr>
            <w:tcW w:w="3020" w:type="dxa"/>
          </w:tcPr>
          <w:p w:rsidR="004E756B" w:rsidRDefault="004E756B">
            <w:pPr>
              <w:spacing w:line="276" w:lineRule="auto"/>
            </w:pPr>
          </w:p>
        </w:tc>
        <w:tc>
          <w:tcPr>
            <w:tcW w:w="3021" w:type="dxa"/>
          </w:tcPr>
          <w:p w:rsidR="004E756B" w:rsidRDefault="004E756B">
            <w:pPr>
              <w:spacing w:line="276" w:lineRule="auto"/>
            </w:pPr>
          </w:p>
        </w:tc>
        <w:tc>
          <w:tcPr>
            <w:tcW w:w="3021" w:type="dxa"/>
          </w:tcPr>
          <w:p w:rsidR="004E756B" w:rsidRDefault="004E756B">
            <w:pPr>
              <w:spacing w:line="276" w:lineRule="auto"/>
            </w:pPr>
          </w:p>
        </w:tc>
      </w:tr>
      <w:tr w:rsidR="004E756B">
        <w:tc>
          <w:tcPr>
            <w:tcW w:w="3020" w:type="dxa"/>
          </w:tcPr>
          <w:p w:rsidR="004E756B" w:rsidRDefault="004E756B">
            <w:pPr>
              <w:spacing w:line="276" w:lineRule="auto"/>
            </w:pPr>
          </w:p>
        </w:tc>
        <w:tc>
          <w:tcPr>
            <w:tcW w:w="3021" w:type="dxa"/>
          </w:tcPr>
          <w:p w:rsidR="004E756B" w:rsidRDefault="004E756B">
            <w:pPr>
              <w:spacing w:line="276" w:lineRule="auto"/>
            </w:pPr>
          </w:p>
        </w:tc>
        <w:tc>
          <w:tcPr>
            <w:tcW w:w="3021" w:type="dxa"/>
          </w:tcPr>
          <w:p w:rsidR="004E756B" w:rsidRDefault="004E756B">
            <w:pPr>
              <w:spacing w:line="276" w:lineRule="auto"/>
            </w:pPr>
          </w:p>
        </w:tc>
      </w:tr>
      <w:tr w:rsidR="004E756B">
        <w:tc>
          <w:tcPr>
            <w:tcW w:w="3020" w:type="dxa"/>
          </w:tcPr>
          <w:p w:rsidR="004E756B" w:rsidRDefault="004E756B">
            <w:pPr>
              <w:spacing w:line="276" w:lineRule="auto"/>
            </w:pPr>
          </w:p>
        </w:tc>
        <w:tc>
          <w:tcPr>
            <w:tcW w:w="3021" w:type="dxa"/>
          </w:tcPr>
          <w:p w:rsidR="004E756B" w:rsidRDefault="004E756B">
            <w:pPr>
              <w:spacing w:line="276" w:lineRule="auto"/>
            </w:pPr>
          </w:p>
        </w:tc>
        <w:tc>
          <w:tcPr>
            <w:tcW w:w="3021" w:type="dxa"/>
          </w:tcPr>
          <w:p w:rsidR="004E756B" w:rsidRDefault="004E756B">
            <w:pPr>
              <w:spacing w:line="276" w:lineRule="auto"/>
            </w:pPr>
          </w:p>
        </w:tc>
      </w:tr>
    </w:tbl>
    <w:p w:rsidR="004E756B" w:rsidRDefault="004E756B">
      <w:pPr>
        <w:spacing w:after="0" w:line="276" w:lineRule="auto"/>
      </w:pPr>
    </w:p>
    <w:p w:rsidR="004E756B" w:rsidRDefault="00F05F92">
      <w:pPr>
        <w:spacing w:after="0" w:line="360" w:lineRule="auto"/>
        <w:rPr>
          <w:b/>
        </w:rPr>
      </w:pPr>
      <w:r>
        <w:rPr>
          <w:b/>
        </w:rPr>
        <w:t xml:space="preserve">Annexe 2 :  Tableau de l’offre financière </w:t>
      </w:r>
    </w:p>
    <w:tbl>
      <w:tblPr>
        <w:tblStyle w:val="a3"/>
        <w:tblW w:w="90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15"/>
        <w:gridCol w:w="992"/>
        <w:gridCol w:w="1576"/>
        <w:gridCol w:w="1999"/>
      </w:tblGrid>
      <w:tr w:rsidR="004E756B">
        <w:trPr>
          <w:trHeight w:val="333"/>
        </w:trPr>
        <w:tc>
          <w:tcPr>
            <w:tcW w:w="4515" w:type="dxa"/>
            <w:shd w:val="clear" w:color="auto" w:fill="F2F2F2"/>
            <w:vAlign w:val="center"/>
          </w:tcPr>
          <w:p w:rsidR="004E756B" w:rsidRDefault="00F05F92">
            <w:pPr>
              <w:spacing w:after="0" w:line="276" w:lineRule="auto"/>
              <w:jc w:val="center"/>
            </w:pPr>
            <w:r>
              <w:rPr>
                <w:b/>
              </w:rPr>
              <w:t xml:space="preserve">Activités </w:t>
            </w:r>
          </w:p>
        </w:tc>
        <w:tc>
          <w:tcPr>
            <w:tcW w:w="992" w:type="dxa"/>
            <w:shd w:val="clear" w:color="auto" w:fill="F2F2F2"/>
            <w:vAlign w:val="center"/>
          </w:tcPr>
          <w:p w:rsidR="004E756B" w:rsidRDefault="00F05F92">
            <w:pPr>
              <w:spacing w:after="0" w:line="276" w:lineRule="auto"/>
              <w:jc w:val="center"/>
              <w:rPr>
                <w:b/>
              </w:rPr>
            </w:pPr>
            <w:r>
              <w:rPr>
                <w:b/>
              </w:rPr>
              <w:t>Durée</w:t>
            </w:r>
          </w:p>
        </w:tc>
        <w:tc>
          <w:tcPr>
            <w:tcW w:w="1576" w:type="dxa"/>
            <w:shd w:val="clear" w:color="auto" w:fill="F2F2F2"/>
          </w:tcPr>
          <w:p w:rsidR="004E756B" w:rsidRDefault="00F05F92">
            <w:pPr>
              <w:spacing w:after="0" w:line="276" w:lineRule="auto"/>
              <w:jc w:val="center"/>
              <w:rPr>
                <w:b/>
              </w:rPr>
            </w:pPr>
            <w:r>
              <w:rPr>
                <w:b/>
              </w:rPr>
              <w:t>Taux Journalier (Hors Taxe)</w:t>
            </w:r>
          </w:p>
        </w:tc>
        <w:tc>
          <w:tcPr>
            <w:tcW w:w="1999" w:type="dxa"/>
            <w:shd w:val="clear" w:color="auto" w:fill="F2F2F2"/>
          </w:tcPr>
          <w:p w:rsidR="004E756B" w:rsidRDefault="00F05F92">
            <w:pPr>
              <w:spacing w:after="0" w:line="276" w:lineRule="auto"/>
              <w:jc w:val="center"/>
              <w:rPr>
                <w:b/>
              </w:rPr>
            </w:pPr>
            <w:r>
              <w:rPr>
                <w:b/>
              </w:rPr>
              <w:t>Total Honoraires (Hors Taxe)</w:t>
            </w:r>
          </w:p>
        </w:tc>
      </w:tr>
      <w:tr w:rsidR="004E756B">
        <w:trPr>
          <w:trHeight w:val="1034"/>
        </w:trPr>
        <w:tc>
          <w:tcPr>
            <w:tcW w:w="4515" w:type="dxa"/>
          </w:tcPr>
          <w:p w:rsidR="004E756B" w:rsidRDefault="00F05F92">
            <w:pPr>
              <w:spacing w:after="0" w:line="276" w:lineRule="auto"/>
              <w:rPr>
                <w:b/>
              </w:rPr>
            </w:pPr>
            <w:r>
              <w:rPr>
                <w:b/>
              </w:rPr>
              <w:t>Liste des activités à entreprendre:</w:t>
            </w:r>
          </w:p>
          <w:p w:rsidR="004E756B" w:rsidRDefault="00F05F92">
            <w:pPr>
              <w:spacing w:after="0" w:line="276" w:lineRule="auto"/>
              <w:rPr>
                <w:b/>
              </w:rPr>
            </w:pPr>
            <w:r>
              <w:rPr>
                <w:b/>
              </w:rPr>
              <w:t>Activité 1</w:t>
            </w:r>
          </w:p>
          <w:p w:rsidR="004E756B" w:rsidRDefault="00F05F92">
            <w:pPr>
              <w:spacing w:after="0" w:line="276" w:lineRule="auto"/>
              <w:rPr>
                <w:b/>
              </w:rPr>
            </w:pPr>
            <w:r>
              <w:rPr>
                <w:b/>
              </w:rPr>
              <w:t>Activité 2</w:t>
            </w:r>
          </w:p>
          <w:p w:rsidR="004E756B" w:rsidRDefault="00F05F92">
            <w:pPr>
              <w:spacing w:after="0" w:line="276" w:lineRule="auto"/>
              <w:rPr>
                <w:b/>
              </w:rPr>
            </w:pPr>
            <w:r>
              <w:rPr>
                <w:b/>
              </w:rPr>
              <w:t>…</w:t>
            </w:r>
          </w:p>
        </w:tc>
        <w:tc>
          <w:tcPr>
            <w:tcW w:w="992" w:type="dxa"/>
            <w:vAlign w:val="center"/>
          </w:tcPr>
          <w:p w:rsidR="004E756B" w:rsidRDefault="00F05F92">
            <w:pPr>
              <w:spacing w:after="0" w:line="276" w:lineRule="auto"/>
              <w:jc w:val="center"/>
            </w:pPr>
            <w:r>
              <w:t>35 HJ</w:t>
            </w:r>
          </w:p>
        </w:tc>
        <w:tc>
          <w:tcPr>
            <w:tcW w:w="1576" w:type="dxa"/>
            <w:vAlign w:val="center"/>
          </w:tcPr>
          <w:p w:rsidR="004E756B" w:rsidRDefault="004E756B">
            <w:pPr>
              <w:spacing w:after="0" w:line="276" w:lineRule="auto"/>
              <w:jc w:val="center"/>
            </w:pPr>
          </w:p>
        </w:tc>
        <w:tc>
          <w:tcPr>
            <w:tcW w:w="1999" w:type="dxa"/>
            <w:vAlign w:val="center"/>
          </w:tcPr>
          <w:p w:rsidR="004E756B" w:rsidRDefault="004E756B">
            <w:pPr>
              <w:spacing w:after="0" w:line="276" w:lineRule="auto"/>
              <w:jc w:val="center"/>
            </w:pPr>
          </w:p>
        </w:tc>
      </w:tr>
    </w:tbl>
    <w:p w:rsidR="004E756B" w:rsidRDefault="004E756B">
      <w:pPr>
        <w:spacing w:after="0" w:line="276" w:lineRule="auto"/>
      </w:pPr>
    </w:p>
    <w:p w:rsidR="004E756B" w:rsidRDefault="004E756B">
      <w:pPr>
        <w:spacing w:after="0" w:line="276" w:lineRule="auto"/>
      </w:pPr>
    </w:p>
    <w:sectPr w:rsidR="004E756B" w:rsidSect="004E756B">
      <w:headerReference w:type="default" r:id="rId8"/>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F92" w:rsidRDefault="00F05F92" w:rsidP="004E756B">
      <w:pPr>
        <w:spacing w:after="0" w:line="240" w:lineRule="auto"/>
      </w:pPr>
      <w:r>
        <w:separator/>
      </w:r>
    </w:p>
  </w:endnote>
  <w:endnote w:type="continuationSeparator" w:id="0">
    <w:p w:rsidR="00F05F92" w:rsidRDefault="00F05F92" w:rsidP="004E75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roman"/>
    <w:notTrueType/>
    <w:pitch w:val="default"/>
    <w:sig w:usb0="00000000" w:usb1="00000000" w:usb2="00000000" w:usb3="00000000" w:csb0="00000000" w:csb1="00000000"/>
  </w:font>
  <w:font w:name="Georgia">
    <w:panose1 w:val="02040502050405020303"/>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56B" w:rsidRDefault="004E756B">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sidR="00F05F92">
      <w:rPr>
        <w:color w:val="000000"/>
      </w:rPr>
      <w:instrText>PAGE</w:instrText>
    </w:r>
    <w:r w:rsidR="00CB6C99">
      <w:rPr>
        <w:color w:val="000000"/>
      </w:rPr>
      <w:fldChar w:fldCharType="separate"/>
    </w:r>
    <w:r w:rsidR="00CB6C99">
      <w:rPr>
        <w:noProof/>
        <w:color w:val="000000"/>
      </w:rPr>
      <w:t>1</w:t>
    </w:r>
    <w:r>
      <w:rPr>
        <w:color w:val="000000"/>
      </w:rPr>
      <w:fldChar w:fldCharType="end"/>
    </w:r>
  </w:p>
  <w:p w:rsidR="004E756B" w:rsidRDefault="004E756B">
    <w:pPr>
      <w:spacing w:after="0" w:line="276" w:lineRule="auto"/>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F92" w:rsidRDefault="00F05F92" w:rsidP="004E756B">
      <w:pPr>
        <w:spacing w:after="0" w:line="240" w:lineRule="auto"/>
      </w:pPr>
      <w:r>
        <w:separator/>
      </w:r>
    </w:p>
  </w:footnote>
  <w:footnote w:type="continuationSeparator" w:id="0">
    <w:p w:rsidR="00F05F92" w:rsidRDefault="00F05F92" w:rsidP="004E75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56B" w:rsidRDefault="00F05F92">
    <w:pPr>
      <w:pBdr>
        <w:top w:val="nil"/>
        <w:left w:val="nil"/>
        <w:bottom w:val="nil"/>
        <w:right w:val="nil"/>
        <w:between w:val="nil"/>
      </w:pBdr>
      <w:tabs>
        <w:tab w:val="center" w:pos="4536"/>
        <w:tab w:val="right" w:pos="9072"/>
      </w:tabs>
      <w:spacing w:after="0" w:line="240" w:lineRule="auto"/>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-215899</wp:posOffset>
            </wp:positionH>
            <wp:positionV relativeFrom="paragraph">
              <wp:posOffset>-292099</wp:posOffset>
            </wp:positionV>
            <wp:extent cx="6339351" cy="545676"/>
            <wp:effectExtent b="0" l="0" r="0" t="0"/>
            <wp:wrapNone/>
            <wp:docPr id="4" name=""/>
            <a:graphic>
              <a:graphicData uri="http://schemas.microsoft.com/office/word/2010/wordprocessingGroup">
                <wpg:wgp>
                  <wpg:cNvGrpSpPr/>
                  <wpg:grpSpPr>
                    <a:xfrm>
                      <a:off x="2176325" y="3507150"/>
                      <a:ext cx="6339351" cy="545676"/>
                      <a:chOff x="2176325" y="3507150"/>
                      <a:chExt cx="6339375" cy="545700"/>
                    </a:xfrm>
                  </wpg:grpSpPr>
                  <wpg:grpSp>
                    <wpg:cNvGrpSpPr/>
                    <wpg:grpSpPr>
                      <a:xfrm>
                        <a:off x="2176325" y="3507162"/>
                        <a:ext cx="6339351" cy="545676"/>
                        <a:chOff x="0" y="0"/>
                        <a:chExt cx="6973286" cy="600244"/>
                      </a:xfrm>
                    </wpg:grpSpPr>
                    <wps:wsp>
                      <wps:cNvSpPr/>
                      <wps:cNvPr id="3" name="Shape 3"/>
                      <wps:spPr>
                        <a:xfrm>
                          <a:off x="0" y="0"/>
                          <a:ext cx="6973275" cy="600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0" r="0" t="0"/>
                        <a:stretch/>
                      </pic:blipFill>
                      <pic:spPr>
                        <a:xfrm>
                          <a:off x="5328718" y="0"/>
                          <a:ext cx="1644568" cy="600244"/>
                        </a:xfrm>
                        <a:prstGeom prst="rect">
                          <a:avLst/>
                        </a:prstGeom>
                        <a:noFill/>
                        <a:ln>
                          <a:noFill/>
                        </a:ln>
                      </pic:spPr>
                    </pic:pic>
                    <pic:pic>
                      <pic:nvPicPr>
                        <pic:cNvPr descr="Logo Commission européenne | Afrika Tiss, le blog" id="5" name="Shape 5"/>
                        <pic:cNvPicPr preferRelativeResize="0"/>
                      </pic:nvPicPr>
                      <pic:blipFill rotWithShape="1">
                        <a:blip r:embed="rId2">
                          <a:alphaModFix/>
                        </a:blip>
                        <a:srcRect b="27265" l="0" r="0" t="0"/>
                        <a:stretch/>
                      </pic:blipFill>
                      <pic:spPr>
                        <a:xfrm>
                          <a:off x="0" y="56795"/>
                          <a:ext cx="653716" cy="486654"/>
                        </a:xfrm>
                        <a:prstGeom prst="rect">
                          <a:avLst/>
                        </a:prstGeom>
                        <a:noFill/>
                        <a:ln>
                          <a:noFill/>
                        </a:ln>
                      </pic:spPr>
                    </pic:pic>
                    <pic:pic>
                      <pic:nvPicPr>
                        <pic:cNvPr descr="Tunisie – Nomination de nouveaux PDG's au ministère de l'industrie - Tunisie" id="6" name="Shape 6"/>
                        <pic:cNvPicPr preferRelativeResize="0"/>
                      </pic:nvPicPr>
                      <pic:blipFill rotWithShape="1">
                        <a:blip r:embed="rId3">
                          <a:alphaModFix/>
                        </a:blip>
                        <a:srcRect b="17865" l="9699" r="7115" t="11040"/>
                        <a:stretch/>
                      </pic:blipFill>
                      <pic:spPr>
                        <a:xfrm>
                          <a:off x="4099001" y="37526"/>
                          <a:ext cx="1140077" cy="525192"/>
                        </a:xfrm>
                        <a:prstGeom prst="rect">
                          <a:avLst/>
                        </a:prstGeom>
                        <a:noFill/>
                        <a:ln>
                          <a:noFill/>
                        </a:ln>
                      </pic:spPr>
                    </pic:pic>
                    <pic:pic>
                      <pic:nvPicPr>
                        <pic:cNvPr descr="Partenaires – Agridurable Tunisie" id="7" name="Shape 7"/>
                        <pic:cNvPicPr preferRelativeResize="0"/>
                      </pic:nvPicPr>
                      <pic:blipFill rotWithShape="1">
                        <a:blip r:embed="rId4">
                          <a:alphaModFix/>
                        </a:blip>
                        <a:srcRect b="28792" l="0" r="0" t="0"/>
                        <a:stretch/>
                      </pic:blipFill>
                      <pic:spPr>
                        <a:xfrm>
                          <a:off x="787378" y="48101"/>
                          <a:ext cx="1812264" cy="504042"/>
                        </a:xfrm>
                        <a:prstGeom prst="rect">
                          <a:avLst/>
                        </a:prstGeom>
                        <a:noFill/>
                        <a:ln>
                          <a:noFill/>
                        </a:ln>
                      </pic:spPr>
                    </pic:pic>
                    <pic:pic>
                      <pic:nvPicPr>
                        <pic:cNvPr descr="INVEST FOR JOBS – Groupement des Opérateurs du Secteur des Technologies de  l'Information et de la Communication de Côte d'Ivoire" id="8" name="Shape 8"/>
                        <pic:cNvPicPr preferRelativeResize="0"/>
                      </pic:nvPicPr>
                      <pic:blipFill rotWithShape="1">
                        <a:blip r:embed="rId5">
                          <a:alphaModFix/>
                        </a:blip>
                        <a:srcRect b="17079" l="0" r="0" t="11782"/>
                        <a:stretch/>
                      </pic:blipFill>
                      <pic:spPr>
                        <a:xfrm>
                          <a:off x="2741624" y="75764"/>
                          <a:ext cx="1125584" cy="448715"/>
                        </a:xfrm>
                        <a:prstGeom prst="rect">
                          <a:avLst/>
                        </a:prstGeom>
                        <a:noFill/>
                        <a:ln>
                          <a:noFill/>
                        </a:ln>
                      </pic:spPr>
                    </pic:pic>
                  </wpg:grpSp>
                </wpg:wg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-215899</wp:posOffset>
              </wp:positionH>
              <wp:positionV relativeFrom="paragraph">
                <wp:posOffset>-292099</wp:posOffset>
              </wp:positionV>
              <wp:extent cx="6339351" cy="545676"/>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339351" cy="545676"/>
                      </a:xfrm>
                      <a:prstGeom prst="rect">
                        <a:avLst/>
                      </a:prstGeom>
                      <a:ln/>
                    </pic:spPr>
                  </pic:pic>
                </a:graphicData>
              </a:graphic>
            </wp:anchor>
          </w:drawing>
        </w:r>
      </ve:Fallback>
    </ve:AlternateConten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60D22"/>
    <w:multiLevelType w:val="multilevel"/>
    <w:tmpl w:val="F9A269C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4CF14C3"/>
    <w:multiLevelType w:val="multilevel"/>
    <w:tmpl w:val="7F2E9786"/>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A166913"/>
    <w:multiLevelType w:val="multilevel"/>
    <w:tmpl w:val="1F3234CE"/>
    <w:lvl w:ilvl="0">
      <w:start w:val="1"/>
      <w:numFmt w:val="bullet"/>
      <w:lvlText w:val="­"/>
      <w:lvlJc w:val="left"/>
      <w:pPr>
        <w:ind w:left="785"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E821A5C"/>
    <w:multiLevelType w:val="multilevel"/>
    <w:tmpl w:val="CB8E88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6C458D1"/>
    <w:multiLevelType w:val="multilevel"/>
    <w:tmpl w:val="FF7CCE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footnotePr>
    <w:footnote w:id="-1"/>
    <w:footnote w:id="0"/>
  </w:footnotePr>
  <w:endnotePr>
    <w:endnote w:id="-1"/>
    <w:endnote w:id="0"/>
  </w:endnotePr>
  <w:compat/>
  <w:rsids>
    <w:rsidRoot w:val="004E756B"/>
    <w:rsid w:val="004E756B"/>
    <w:rsid w:val="00CB6C99"/>
    <w:rsid w:val="00F05F9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569"/>
  </w:style>
  <w:style w:type="paragraph" w:styleId="Titre1">
    <w:name w:val="heading 1"/>
    <w:aliases w:val="1. Überschrift"/>
    <w:basedOn w:val="Normal"/>
    <w:next w:val="Normal"/>
    <w:link w:val="Titre1Car"/>
    <w:uiPriority w:val="1"/>
    <w:qFormat/>
    <w:rsid w:val="006E7F1F"/>
    <w:pPr>
      <w:keepNext/>
      <w:keepLines/>
      <w:spacing w:before="480" w:after="240" w:line="240" w:lineRule="auto"/>
      <w:outlineLvl w:val="0"/>
    </w:pPr>
    <w:rPr>
      <w:rFonts w:ascii="Arial" w:eastAsiaTheme="majorEastAsia" w:hAnsi="Arial" w:cstheme="majorBidi"/>
      <w:b/>
      <w:bCs/>
      <w:szCs w:val="28"/>
      <w:lang w:val="en-GB"/>
    </w:rPr>
  </w:style>
  <w:style w:type="paragraph" w:styleId="Titre2">
    <w:name w:val="heading 2"/>
    <w:basedOn w:val="normal0"/>
    <w:next w:val="normal0"/>
    <w:rsid w:val="004E756B"/>
    <w:pPr>
      <w:keepNext/>
      <w:keepLines/>
      <w:spacing w:before="360" w:after="80"/>
      <w:outlineLvl w:val="1"/>
    </w:pPr>
    <w:rPr>
      <w:b/>
      <w:sz w:val="36"/>
      <w:szCs w:val="36"/>
    </w:rPr>
  </w:style>
  <w:style w:type="paragraph" w:styleId="Titre3">
    <w:name w:val="heading 3"/>
    <w:basedOn w:val="normal0"/>
    <w:next w:val="normal0"/>
    <w:rsid w:val="004E756B"/>
    <w:pPr>
      <w:keepNext/>
      <w:keepLines/>
      <w:spacing w:before="280" w:after="80"/>
      <w:outlineLvl w:val="2"/>
    </w:pPr>
    <w:rPr>
      <w:b/>
      <w:sz w:val="28"/>
      <w:szCs w:val="28"/>
    </w:rPr>
  </w:style>
  <w:style w:type="paragraph" w:styleId="Titre4">
    <w:name w:val="heading 4"/>
    <w:basedOn w:val="normal0"/>
    <w:next w:val="normal0"/>
    <w:rsid w:val="004E756B"/>
    <w:pPr>
      <w:keepNext/>
      <w:keepLines/>
      <w:spacing w:before="240" w:after="40"/>
      <w:outlineLvl w:val="3"/>
    </w:pPr>
    <w:rPr>
      <w:b/>
      <w:sz w:val="24"/>
      <w:szCs w:val="24"/>
    </w:rPr>
  </w:style>
  <w:style w:type="paragraph" w:styleId="Titre5">
    <w:name w:val="heading 5"/>
    <w:basedOn w:val="normal0"/>
    <w:next w:val="normal0"/>
    <w:rsid w:val="004E756B"/>
    <w:pPr>
      <w:keepNext/>
      <w:keepLines/>
      <w:spacing w:before="220" w:after="40"/>
      <w:outlineLvl w:val="4"/>
    </w:pPr>
    <w:rPr>
      <w:b/>
    </w:rPr>
  </w:style>
  <w:style w:type="paragraph" w:styleId="Titre6">
    <w:name w:val="heading 6"/>
    <w:basedOn w:val="normal0"/>
    <w:next w:val="normal0"/>
    <w:rsid w:val="004E756B"/>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4E756B"/>
  </w:style>
  <w:style w:type="table" w:customStyle="1" w:styleId="TableNormal">
    <w:name w:val="Table Normal"/>
    <w:rsid w:val="004E756B"/>
    <w:tblPr>
      <w:tblCellMar>
        <w:top w:w="0" w:type="dxa"/>
        <w:left w:w="0" w:type="dxa"/>
        <w:bottom w:w="0" w:type="dxa"/>
        <w:right w:w="0" w:type="dxa"/>
      </w:tblCellMar>
    </w:tblPr>
  </w:style>
  <w:style w:type="paragraph" w:styleId="Titre">
    <w:name w:val="Title"/>
    <w:basedOn w:val="normal0"/>
    <w:next w:val="normal0"/>
    <w:rsid w:val="004E756B"/>
    <w:pPr>
      <w:keepNext/>
      <w:keepLines/>
      <w:spacing w:before="480" w:after="120"/>
    </w:pPr>
    <w:rPr>
      <w:b/>
      <w:sz w:val="72"/>
      <w:szCs w:val="72"/>
    </w:rPr>
  </w:style>
  <w:style w:type="character" w:customStyle="1" w:styleId="Titre1Car">
    <w:name w:val="Titre 1 Car"/>
    <w:aliases w:val="1. Überschrift Car"/>
    <w:basedOn w:val="Policepardfaut"/>
    <w:link w:val="Titre1"/>
    <w:uiPriority w:val="1"/>
    <w:rsid w:val="006E7F1F"/>
    <w:rPr>
      <w:rFonts w:ascii="Arial" w:eastAsiaTheme="majorEastAsia" w:hAnsi="Arial" w:cstheme="majorBidi"/>
      <w:b/>
      <w:bCs/>
      <w:szCs w:val="28"/>
      <w:lang w:val="en-GB"/>
    </w:rPr>
  </w:style>
  <w:style w:type="paragraph" w:styleId="Paragraphedeliste">
    <w:name w:val="List Paragraph"/>
    <w:basedOn w:val="Normal"/>
    <w:link w:val="ParagraphedelisteCar"/>
    <w:uiPriority w:val="34"/>
    <w:qFormat/>
    <w:rsid w:val="006E7F1F"/>
    <w:pPr>
      <w:spacing w:after="240" w:line="240" w:lineRule="auto"/>
      <w:ind w:left="720"/>
      <w:contextualSpacing/>
    </w:pPr>
    <w:rPr>
      <w:rFonts w:ascii="Arial" w:hAnsi="Arial"/>
      <w:lang w:val="en-GB"/>
    </w:rPr>
  </w:style>
  <w:style w:type="paragraph" w:customStyle="1" w:styleId="ZulschenderText">
    <w:name w:val="Zu löschender Text"/>
    <w:basedOn w:val="Normal"/>
    <w:link w:val="ZulschenderTextZchn"/>
    <w:qFormat/>
    <w:rsid w:val="006E7F1F"/>
    <w:pPr>
      <w:spacing w:after="240" w:line="240" w:lineRule="auto"/>
    </w:pPr>
    <w:rPr>
      <w:rFonts w:ascii="Arial" w:hAnsi="Arial"/>
      <w:i/>
      <w:color w:val="43B02A" w:themeColor="accent2"/>
      <w:lang w:val="en-GB"/>
    </w:rPr>
  </w:style>
  <w:style w:type="character" w:customStyle="1" w:styleId="ZulschenderTextZchn">
    <w:name w:val="Zu löschender Text Zchn"/>
    <w:basedOn w:val="Policepardfaut"/>
    <w:link w:val="ZulschenderText"/>
    <w:rsid w:val="006E7F1F"/>
    <w:rPr>
      <w:rFonts w:ascii="Arial" w:hAnsi="Arial"/>
      <w:i/>
      <w:color w:val="43B02A" w:themeColor="accent2"/>
      <w:lang w:val="en-GB"/>
    </w:rPr>
  </w:style>
  <w:style w:type="paragraph" w:customStyle="1" w:styleId="Default">
    <w:name w:val="Default"/>
    <w:rsid w:val="006E7F1F"/>
    <w:pPr>
      <w:autoSpaceDE w:val="0"/>
      <w:autoSpaceDN w:val="0"/>
      <w:adjustRightInd w:val="0"/>
      <w:spacing w:after="0" w:line="240" w:lineRule="auto"/>
    </w:pPr>
    <w:rPr>
      <w:rFonts w:ascii="Arial" w:hAnsi="Arial" w:cs="Arial"/>
      <w:color w:val="000000"/>
      <w:sz w:val="24"/>
      <w:szCs w:val="24"/>
      <w:lang w:val="en-GB" w:eastAsia="zh-CN"/>
    </w:rPr>
  </w:style>
  <w:style w:type="character" w:customStyle="1" w:styleId="ParagraphedelisteCar">
    <w:name w:val="Paragraphe de liste Car"/>
    <w:link w:val="Paragraphedeliste"/>
    <w:uiPriority w:val="34"/>
    <w:rsid w:val="006E7F1F"/>
    <w:rPr>
      <w:rFonts w:ascii="Arial" w:hAnsi="Arial"/>
      <w:lang w:val="en-GB"/>
    </w:rPr>
  </w:style>
  <w:style w:type="paragraph" w:customStyle="1" w:styleId="Bodycopybold">
    <w:name w:val="Body copy bold"/>
    <w:autoRedefine/>
    <w:rsid w:val="006A68CD"/>
    <w:pPr>
      <w:framePr w:hSpace="141" w:wrap="around" w:hAnchor="text" w:y="939"/>
      <w:tabs>
        <w:tab w:val="num" w:pos="720"/>
      </w:tabs>
      <w:spacing w:before="120" w:after="60" w:line="240" w:lineRule="exact"/>
      <w:ind w:left="2159" w:hanging="720"/>
    </w:pPr>
    <w:rPr>
      <w:rFonts w:asciiTheme="majorHAnsi" w:eastAsia="Times" w:hAnsiTheme="majorHAnsi" w:cstheme="majorHAnsi"/>
      <w:color w:val="000000"/>
    </w:rPr>
  </w:style>
  <w:style w:type="paragraph" w:styleId="En-tte">
    <w:name w:val="header"/>
    <w:basedOn w:val="Normal"/>
    <w:link w:val="En-tteCar"/>
    <w:uiPriority w:val="99"/>
    <w:unhideWhenUsed/>
    <w:rsid w:val="009D21F1"/>
    <w:pPr>
      <w:tabs>
        <w:tab w:val="center" w:pos="4536"/>
        <w:tab w:val="right" w:pos="9072"/>
      </w:tabs>
      <w:spacing w:after="0" w:line="240" w:lineRule="auto"/>
    </w:pPr>
  </w:style>
  <w:style w:type="character" w:customStyle="1" w:styleId="En-tteCar">
    <w:name w:val="En-tête Car"/>
    <w:basedOn w:val="Policepardfaut"/>
    <w:link w:val="En-tte"/>
    <w:uiPriority w:val="99"/>
    <w:rsid w:val="009D21F1"/>
  </w:style>
  <w:style w:type="paragraph" w:styleId="Pieddepage">
    <w:name w:val="footer"/>
    <w:basedOn w:val="Normal"/>
    <w:link w:val="PieddepageCar"/>
    <w:uiPriority w:val="99"/>
    <w:unhideWhenUsed/>
    <w:rsid w:val="009D21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21F1"/>
  </w:style>
  <w:style w:type="character" w:styleId="Marquedecommentaire">
    <w:name w:val="annotation reference"/>
    <w:basedOn w:val="Policepardfaut"/>
    <w:uiPriority w:val="99"/>
    <w:semiHidden/>
    <w:unhideWhenUsed/>
    <w:rsid w:val="00A21C2A"/>
    <w:rPr>
      <w:sz w:val="16"/>
      <w:szCs w:val="16"/>
    </w:rPr>
  </w:style>
  <w:style w:type="paragraph" w:styleId="Commentaire">
    <w:name w:val="annotation text"/>
    <w:basedOn w:val="Normal"/>
    <w:link w:val="CommentaireCar"/>
    <w:uiPriority w:val="99"/>
    <w:semiHidden/>
    <w:unhideWhenUsed/>
    <w:rsid w:val="00A21C2A"/>
    <w:pPr>
      <w:spacing w:line="240" w:lineRule="auto"/>
    </w:pPr>
    <w:rPr>
      <w:sz w:val="20"/>
      <w:szCs w:val="20"/>
    </w:rPr>
  </w:style>
  <w:style w:type="character" w:customStyle="1" w:styleId="CommentaireCar">
    <w:name w:val="Commentaire Car"/>
    <w:basedOn w:val="Policepardfaut"/>
    <w:link w:val="Commentaire"/>
    <w:uiPriority w:val="99"/>
    <w:semiHidden/>
    <w:rsid w:val="00A21C2A"/>
    <w:rPr>
      <w:sz w:val="20"/>
      <w:szCs w:val="20"/>
    </w:rPr>
  </w:style>
  <w:style w:type="paragraph" w:styleId="Objetducommentaire">
    <w:name w:val="annotation subject"/>
    <w:basedOn w:val="Commentaire"/>
    <w:next w:val="Commentaire"/>
    <w:link w:val="ObjetducommentaireCar"/>
    <w:uiPriority w:val="99"/>
    <w:semiHidden/>
    <w:unhideWhenUsed/>
    <w:rsid w:val="00A21C2A"/>
    <w:rPr>
      <w:b/>
      <w:bCs/>
    </w:rPr>
  </w:style>
  <w:style w:type="character" w:customStyle="1" w:styleId="ObjetducommentaireCar">
    <w:name w:val="Objet du commentaire Car"/>
    <w:basedOn w:val="CommentaireCar"/>
    <w:link w:val="Objetducommentaire"/>
    <w:uiPriority w:val="99"/>
    <w:semiHidden/>
    <w:rsid w:val="00A21C2A"/>
    <w:rPr>
      <w:b/>
      <w:bCs/>
      <w:sz w:val="20"/>
      <w:szCs w:val="20"/>
    </w:rPr>
  </w:style>
  <w:style w:type="table" w:styleId="Grilledutableau">
    <w:name w:val="Table Grid"/>
    <w:basedOn w:val="TableauNormal"/>
    <w:uiPriority w:val="39"/>
    <w:rsid w:val="00F111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us-titre">
    <w:name w:val="Subtitle"/>
    <w:basedOn w:val="Normal"/>
    <w:next w:val="Normal"/>
    <w:rsid w:val="004E756B"/>
    <w:pPr>
      <w:keepNext/>
      <w:keepLines/>
      <w:spacing w:before="360" w:after="80"/>
    </w:pPr>
    <w:rPr>
      <w:rFonts w:ascii="Georgia" w:eastAsia="Georgia" w:hAnsi="Georgia" w:cs="Georgia"/>
      <w:i/>
      <w:color w:val="666666"/>
      <w:sz w:val="48"/>
      <w:szCs w:val="48"/>
    </w:rPr>
  </w:style>
  <w:style w:type="table" w:customStyle="1" w:styleId="a">
    <w:basedOn w:val="TableNormal"/>
    <w:rsid w:val="004E756B"/>
    <w:tblPr>
      <w:tblStyleRowBandSize w:val="1"/>
      <w:tblStyleColBandSize w:val="1"/>
      <w:tblCellMar>
        <w:top w:w="0" w:type="dxa"/>
        <w:left w:w="70" w:type="dxa"/>
        <w:bottom w:w="0" w:type="dxa"/>
        <w:right w:w="70" w:type="dxa"/>
      </w:tblCellMar>
    </w:tblPr>
  </w:style>
  <w:style w:type="table" w:customStyle="1" w:styleId="a0">
    <w:basedOn w:val="TableNormal"/>
    <w:rsid w:val="004E756B"/>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rsid w:val="004E756B"/>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rsid w:val="004E756B"/>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rsid w:val="004E756B"/>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6.jpg"/><Relationship Id="rId1" Type="http://schemas.openxmlformats.org/officeDocument/2006/relationships/image" Target="media/image5.png"/><Relationship Id="rId6" Type="http://schemas.openxmlformats.org/officeDocument/2006/relationships/image" Target="media/image1.png"/><Relationship Id="rId5" Type="http://schemas.openxmlformats.org/officeDocument/2006/relationships/image" Target="media/image2.jpg"/><Relationship Id="rId4" Type="http://schemas.openxmlformats.org/officeDocument/2006/relationships/image" Target="media/image4.jpg"/></Relationships>
</file>

<file path=word/theme/theme1.xml><?xml version="1.0" encoding="utf-8"?>
<a:theme xmlns:a="http://schemas.openxmlformats.org/drawingml/2006/main" name="Default Theme">
  <a:themeElements>
    <a:clrScheme name="Deloitte 2020">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Font 202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CpT8W5rZHuCXYjzFGm2c4C+kbw==">AMUW2mWThcgtspcsDiKd4syvMJ2AoiNhdLnq+69oaUbhHllCNMDwSEJeyIpJbsDpNOkhrFmgqvFmgrv8Ubn52kIMC13xZqn6vkkDadLfZKs2wAQvVv/h0cETnvJq3GjkuTLyLf8xaDCmYFFzymUqV9F03A9D2veYxIORGAi1Na9UA/YRZL8obB/OUjU8uTHE2doMojnwfpr27fDnnr49xS2Cgw4icOTiuFB2VO8/0absHD17jkXqJ60=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6354</Characters>
  <Application>Microsoft Office Word</Application>
  <DocSecurity>0</DocSecurity>
  <Lines>52</Lines>
  <Paragraphs>14</Paragraphs>
  <ScaleCrop>false</ScaleCrop>
  <Company/>
  <LinksUpToDate>false</LinksUpToDate>
  <CharactersWithSpaces>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Rihane, Aziz</dc:creator>
  <cp:lastModifiedBy>Anouar Arous</cp:lastModifiedBy>
  <cp:revision>2</cp:revision>
  <dcterms:created xsi:type="dcterms:W3CDTF">2023-02-03T14:39:00Z</dcterms:created>
  <dcterms:modified xsi:type="dcterms:W3CDTF">2023-02-03T14:39:00Z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2022-11-15T16:03:18Z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4a280077-6e3b-46ba-956c-0838012a2497</vt:lpwstr>
  </property>
  <property fmtid="{D5CDD505-2E9C-101B-9397-08002B2CF9AE}" pid="8" name="MSIP_Label_ea60d57e-af5b-4752-ac57-3e4f28ca11dc_ContentBits">
    <vt:lpwstr>0</vt:lpwstr>
  </property>
</Properties>
</file>